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7C8860" w14:textId="77777777" w:rsidR="006960D3" w:rsidRPr="00614CFF" w:rsidRDefault="006960D3" w:rsidP="006960D3">
      <w:pPr>
        <w:adjustRightInd w:val="0"/>
        <w:snapToGrid w:val="0"/>
        <w:spacing w:line="360" w:lineRule="auto"/>
        <w:rPr>
          <w:rFonts w:ascii="Calibri" w:hAnsi="Calibri" w:cs="Calibri"/>
          <w:b/>
          <w:bCs/>
        </w:rPr>
      </w:pPr>
      <w:r w:rsidRPr="00614CFF">
        <w:rPr>
          <w:rFonts w:ascii="Calibri" w:hAnsi="Calibri" w:cs="Calibri"/>
          <w:b/>
          <w:bCs/>
        </w:rPr>
        <w:t>13</w:t>
      </w:r>
    </w:p>
    <w:p w14:paraId="038895CF" w14:textId="77777777" w:rsidR="006960D3" w:rsidRPr="00614CFF" w:rsidRDefault="006960D3" w:rsidP="006960D3">
      <w:pPr>
        <w:adjustRightInd w:val="0"/>
        <w:snapToGrid w:val="0"/>
        <w:spacing w:line="360" w:lineRule="auto"/>
        <w:rPr>
          <w:rFonts w:ascii="Calibri" w:hAnsi="Calibri" w:cs="Calibri"/>
          <w:b/>
          <w:bCs/>
        </w:rPr>
      </w:pPr>
      <w:r w:rsidRPr="00614CFF">
        <w:rPr>
          <w:rFonts w:ascii="Calibri" w:hAnsi="Calibri" w:cs="Calibri"/>
          <w:b/>
          <w:bCs/>
        </w:rPr>
        <w:t xml:space="preserve">Using adaptive traits in the ear to estimate ecology of early snakes </w:t>
      </w:r>
    </w:p>
    <w:p w14:paraId="29E7CBE4" w14:textId="77777777" w:rsidR="006960D3" w:rsidRPr="00614CFF" w:rsidRDefault="006960D3" w:rsidP="006960D3">
      <w:pPr>
        <w:adjustRightInd w:val="0"/>
        <w:snapToGrid w:val="0"/>
        <w:spacing w:line="360" w:lineRule="auto"/>
        <w:rPr>
          <w:rFonts w:ascii="Calibri" w:hAnsi="Calibri" w:cs="Calibri"/>
          <w:b/>
          <w:bCs/>
        </w:rPr>
      </w:pPr>
    </w:p>
    <w:p w14:paraId="3C85AB51" w14:textId="77777777" w:rsidR="006960D3" w:rsidRPr="00614CFF" w:rsidRDefault="006960D3" w:rsidP="006960D3">
      <w:pPr>
        <w:adjustRightInd w:val="0"/>
        <w:snapToGrid w:val="0"/>
        <w:spacing w:line="360" w:lineRule="auto"/>
        <w:rPr>
          <w:rFonts w:ascii="Calibri" w:hAnsi="Calibri" w:cs="Calibri"/>
          <w:smallCaps/>
        </w:rPr>
      </w:pPr>
      <w:proofErr w:type="spellStart"/>
      <w:r w:rsidRPr="00614CFF">
        <w:rPr>
          <w:rFonts w:ascii="Calibri" w:hAnsi="Calibri" w:cs="Calibri"/>
          <w:smallCaps/>
        </w:rPr>
        <w:t>Hongyu</w:t>
      </w:r>
      <w:proofErr w:type="spellEnd"/>
      <w:r w:rsidRPr="00614CFF">
        <w:rPr>
          <w:rFonts w:ascii="Calibri" w:hAnsi="Calibri" w:cs="Calibri"/>
          <w:smallCaps/>
        </w:rPr>
        <w:t xml:space="preserve"> Yi </w:t>
      </w:r>
    </w:p>
    <w:p w14:paraId="6F0A12D2" w14:textId="41C2CCAB" w:rsidR="006960D3" w:rsidRDefault="006960D3" w:rsidP="006960D3">
      <w:pPr>
        <w:adjustRightInd w:val="0"/>
        <w:snapToGrid w:val="0"/>
        <w:spacing w:line="360" w:lineRule="auto"/>
        <w:rPr>
          <w:rFonts w:ascii="Calibri" w:hAnsi="Calibri" w:cs="Calibri"/>
        </w:rPr>
      </w:pPr>
    </w:p>
    <w:p w14:paraId="6932A159" w14:textId="77777777" w:rsidR="006960D3" w:rsidRPr="00614CFF" w:rsidRDefault="006960D3" w:rsidP="006960D3">
      <w:pPr>
        <w:adjustRightInd w:val="0"/>
        <w:snapToGrid w:val="0"/>
        <w:spacing w:line="360" w:lineRule="auto"/>
        <w:rPr>
          <w:rFonts w:ascii="Calibri" w:hAnsi="Calibri" w:cs="Calibri"/>
        </w:rPr>
      </w:pPr>
    </w:p>
    <w:p w14:paraId="7080FEAB" w14:textId="5B6ADB4D" w:rsidR="006960D3" w:rsidRPr="00614CFF" w:rsidRDefault="006960D3" w:rsidP="006960D3">
      <w:pPr>
        <w:adjustRightInd w:val="0"/>
        <w:snapToGrid w:val="0"/>
        <w:spacing w:line="360" w:lineRule="auto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Abstract</w:t>
      </w:r>
    </w:p>
    <w:p w14:paraId="20D90C8A" w14:textId="77777777" w:rsidR="006960D3" w:rsidRDefault="006960D3" w:rsidP="006960D3">
      <w:pPr>
        <w:spacing w:line="360" w:lineRule="auto"/>
        <w:ind w:firstLine="720"/>
        <w:rPr>
          <w:rFonts w:cs="Calibri"/>
          <w:b/>
          <w:bCs/>
        </w:rPr>
      </w:pPr>
    </w:p>
    <w:p w14:paraId="279F836F" w14:textId="7551400C" w:rsidR="00977239" w:rsidRDefault="00690914" w:rsidP="006960D3">
      <w:pPr>
        <w:spacing w:line="360" w:lineRule="auto"/>
      </w:pPr>
      <w:r>
        <w:rPr>
          <w:rFonts w:cs="Calibri"/>
        </w:rPr>
        <w:t>Extant s</w:t>
      </w:r>
      <w:r w:rsidR="00977239" w:rsidRPr="004F148A">
        <w:rPr>
          <w:rFonts w:cs="Calibri" w:hint="eastAsia"/>
        </w:rPr>
        <w:t>nake</w:t>
      </w:r>
      <w:r w:rsidR="00977239" w:rsidRPr="004F148A">
        <w:rPr>
          <w:rFonts w:cs="Calibri"/>
        </w:rPr>
        <w:t xml:space="preserve">s </w:t>
      </w:r>
      <w:r>
        <w:rPr>
          <w:rFonts w:cs="Calibri"/>
        </w:rPr>
        <w:t>have</w:t>
      </w:r>
      <w:r w:rsidR="00977239" w:rsidRPr="004F148A">
        <w:rPr>
          <w:rFonts w:cs="Calibri"/>
        </w:rPr>
        <w:t xml:space="preserve"> </w:t>
      </w:r>
      <w:r>
        <w:rPr>
          <w:rFonts w:cs="Calibri"/>
        </w:rPr>
        <w:t>a highly distinct</w:t>
      </w:r>
      <w:r w:rsidR="00977239" w:rsidRPr="004F148A">
        <w:rPr>
          <w:rFonts w:cs="Calibri"/>
        </w:rPr>
        <w:t xml:space="preserve"> body plan </w:t>
      </w:r>
      <w:r>
        <w:rPr>
          <w:rFonts w:cs="Calibri"/>
        </w:rPr>
        <w:t>that</w:t>
      </w:r>
      <w:bookmarkStart w:id="0" w:name="_GoBack"/>
      <w:bookmarkEnd w:id="0"/>
      <w:r w:rsidR="00977239" w:rsidRPr="004F148A">
        <w:rPr>
          <w:rFonts w:cs="Calibri"/>
        </w:rPr>
        <w:t xml:space="preserve"> can be traced back to the origin of the clade. It remains unresolved whether ancestral snakes were adapted to terrestrial environments </w:t>
      </w:r>
      <w:r>
        <w:rPr>
          <w:rFonts w:cs="Calibri"/>
        </w:rPr>
        <w:t xml:space="preserve">as burrowers, </w:t>
      </w:r>
      <w:r w:rsidR="00977239" w:rsidRPr="004F148A">
        <w:rPr>
          <w:rFonts w:cs="Calibri"/>
        </w:rPr>
        <w:t xml:space="preserve">or </w:t>
      </w:r>
      <w:r>
        <w:rPr>
          <w:rFonts w:cs="Calibri"/>
        </w:rPr>
        <w:t>to marine environments</w:t>
      </w:r>
      <w:r w:rsidR="00977239" w:rsidRPr="004F148A">
        <w:rPr>
          <w:rFonts w:cs="Calibri"/>
        </w:rPr>
        <w:t xml:space="preserve"> </w:t>
      </w:r>
      <w:r>
        <w:rPr>
          <w:rFonts w:cs="Calibri"/>
        </w:rPr>
        <w:t>as swimmers</w:t>
      </w:r>
      <w:r w:rsidR="00977239" w:rsidRPr="004F148A">
        <w:rPr>
          <w:rFonts w:cs="Calibri"/>
        </w:rPr>
        <w:t xml:space="preserve">. </w:t>
      </w:r>
      <w:r w:rsidR="00977239" w:rsidRPr="004F148A">
        <w:rPr>
          <w:rFonts w:cs="Calibri"/>
          <w:bCs/>
        </w:rPr>
        <w:t xml:space="preserve">In the past decade, new approaches have been developed to </w:t>
      </w:r>
      <w:r>
        <w:rPr>
          <w:rFonts w:cs="Calibri"/>
          <w:bCs/>
        </w:rPr>
        <w:t>infer</w:t>
      </w:r>
      <w:r w:rsidR="00977239" w:rsidRPr="004F148A">
        <w:rPr>
          <w:rFonts w:cs="Calibri"/>
          <w:bCs/>
        </w:rPr>
        <w:t xml:space="preserve"> fossorial and aquatic specialists in the early evolution of snakes, using virtual CT models of the ear of fossils. </w:t>
      </w:r>
      <w:r w:rsidR="00977239">
        <w:t xml:space="preserve">This </w:t>
      </w:r>
      <w:r>
        <w:t>chapter</w:t>
      </w:r>
      <w:r w:rsidR="00977239">
        <w:t xml:space="preserve"> reviews</w:t>
      </w:r>
      <w:r w:rsidR="00977239" w:rsidRPr="00094DE6">
        <w:t xml:space="preserve"> </w:t>
      </w:r>
      <w:r w:rsidR="00977239">
        <w:t xml:space="preserve">shape variation in </w:t>
      </w:r>
      <w:r w:rsidR="00977239" w:rsidRPr="00094DE6">
        <w:t xml:space="preserve">the </w:t>
      </w:r>
      <w:r w:rsidR="00977239">
        <w:t>osseous part of the ear</w:t>
      </w:r>
      <w:r w:rsidR="00977239" w:rsidRPr="00094DE6">
        <w:t xml:space="preserve"> </w:t>
      </w:r>
      <w:r w:rsidR="00977239">
        <w:t>of</w:t>
      </w:r>
      <w:r w:rsidR="00977239" w:rsidRPr="00094DE6">
        <w:t xml:space="preserve"> major </w:t>
      </w:r>
      <w:r w:rsidR="00977239">
        <w:t xml:space="preserve">snake </w:t>
      </w:r>
      <w:r>
        <w:t>lineages</w:t>
      </w:r>
      <w:r w:rsidR="00977239">
        <w:t>.</w:t>
      </w:r>
      <w:r w:rsidR="00977239" w:rsidRPr="00094DE6">
        <w:t xml:space="preserve"> </w:t>
      </w:r>
      <w:r w:rsidR="00977239">
        <w:t xml:space="preserve">Morphological comparisons show the vestibule is </w:t>
      </w:r>
      <w:r>
        <w:t xml:space="preserve">relatively </w:t>
      </w:r>
      <w:r w:rsidR="00977239">
        <w:t xml:space="preserve">large in fossorial species and small in aquatic snakes. Using quantitative analyses of bony labyrinth geometry, it has been suggested that </w:t>
      </w:r>
      <w:r>
        <w:t>putative stem snakes</w:t>
      </w:r>
      <w:r w:rsidR="00977239">
        <w:t xml:space="preserve">, such as </w:t>
      </w:r>
      <w:proofErr w:type="spellStart"/>
      <w:r w:rsidR="00977239" w:rsidRPr="00D57535">
        <w:rPr>
          <w:i/>
          <w:iCs/>
        </w:rPr>
        <w:t>Dinilysia</w:t>
      </w:r>
      <w:proofErr w:type="spellEnd"/>
      <w:r w:rsidR="00977239">
        <w:t xml:space="preserve"> </w:t>
      </w:r>
      <w:proofErr w:type="spellStart"/>
      <w:r w:rsidR="00977239" w:rsidRPr="00D57535">
        <w:rPr>
          <w:i/>
          <w:iCs/>
        </w:rPr>
        <w:t>patagonica</w:t>
      </w:r>
      <w:proofErr w:type="spellEnd"/>
      <w:r w:rsidR="00977239">
        <w:t xml:space="preserve">, </w:t>
      </w:r>
      <w:r>
        <w:t>were</w:t>
      </w:r>
      <w:r w:rsidR="00977239">
        <w:t xml:space="preserve"> fossorial. Improvements to testing correlation</w:t>
      </w:r>
      <w:r>
        <w:t>s</w:t>
      </w:r>
      <w:r w:rsidR="00977239">
        <w:t xml:space="preserve"> </w:t>
      </w:r>
      <w:r>
        <w:t>between</w:t>
      </w:r>
      <w:r w:rsidR="00977239">
        <w:t xml:space="preserve"> bony labyrinth morphology and ecology can be made in the refinement of quantitative approaches to capturing and </w:t>
      </w:r>
      <w:proofErr w:type="spellStart"/>
      <w:r w:rsidR="00977239">
        <w:t>analy</w:t>
      </w:r>
      <w:r>
        <w:t>s</w:t>
      </w:r>
      <w:r w:rsidR="00977239">
        <w:t>ing</w:t>
      </w:r>
      <w:proofErr w:type="spellEnd"/>
      <w:r w:rsidR="00977239">
        <w:t xml:space="preserve"> shape variations, as well as better or less categorical classifications of ecology. Using inner and middle ear morphology to </w:t>
      </w:r>
      <w:r>
        <w:t xml:space="preserve">improve the </w:t>
      </w:r>
      <w:r w:rsidR="00977239">
        <w:t>accura</w:t>
      </w:r>
      <w:r>
        <w:t>cy and precision of</w:t>
      </w:r>
      <w:r w:rsidR="00977239">
        <w:t xml:space="preserve"> infer</w:t>
      </w:r>
      <w:r>
        <w:t>ences of</w:t>
      </w:r>
      <w:r w:rsidR="00977239">
        <w:t xml:space="preserve"> the ecology of the ancestral snake will depend also upon robust, well-resolved phylogenies for extinct and extant taxa</w:t>
      </w:r>
      <w:r>
        <w:t>, and denser taxonomic and ecomorphological sampling</w:t>
      </w:r>
      <w:r w:rsidR="00977239">
        <w:t>.</w:t>
      </w:r>
    </w:p>
    <w:p w14:paraId="5184EC49" w14:textId="77777777" w:rsidR="002974AF" w:rsidRDefault="00690914" w:rsidP="006960D3">
      <w:pPr>
        <w:spacing w:line="360" w:lineRule="auto"/>
      </w:pPr>
    </w:p>
    <w:sectPr w:rsidR="002974AF" w:rsidSect="00230E66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7239"/>
    <w:rsid w:val="001C3B2D"/>
    <w:rsid w:val="00230E66"/>
    <w:rsid w:val="00295C32"/>
    <w:rsid w:val="00690914"/>
    <w:rsid w:val="006960D3"/>
    <w:rsid w:val="0088156D"/>
    <w:rsid w:val="00977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FB589D"/>
  <w15:chartTrackingRefBased/>
  <w15:docId w15:val="{6BA2EF4D-7BA0-A242-A84F-60AC2E576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77239"/>
    <w:rPr>
      <w:rFonts w:ascii="Times New Roman" w:eastAsia="Times New Roman" w:hAnsi="Times New Roman" w:cs="Times New Roman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207</Words>
  <Characters>1185</Characters>
  <Application>Microsoft Office Word</Application>
  <DocSecurity>0</DocSecurity>
  <Lines>9</Lines>
  <Paragraphs>2</Paragraphs>
  <ScaleCrop>false</ScaleCrop>
  <Company/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Gower</dc:creator>
  <cp:keywords/>
  <dc:description/>
  <cp:lastModifiedBy>David Gower</cp:lastModifiedBy>
  <cp:revision>3</cp:revision>
  <dcterms:created xsi:type="dcterms:W3CDTF">2021-05-10T08:40:00Z</dcterms:created>
  <dcterms:modified xsi:type="dcterms:W3CDTF">2021-05-10T08:45:00Z</dcterms:modified>
</cp:coreProperties>
</file>