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F56E2" w:rsidRPr="008928AE" w:rsidRDefault="00E114CD">
      <w:pPr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8928AE">
        <w:rPr>
          <w:rFonts w:asciiTheme="majorHAnsi" w:eastAsia="Times New Roman" w:hAnsiTheme="majorHAnsi" w:cstheme="majorHAnsi"/>
          <w:b/>
          <w:sz w:val="24"/>
          <w:szCs w:val="24"/>
        </w:rPr>
        <w:t>16</w:t>
      </w:r>
    </w:p>
    <w:p w14:paraId="00000002" w14:textId="77777777" w:rsidR="000F56E2" w:rsidRPr="008928AE" w:rsidRDefault="00E114CD">
      <w:pPr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8928AE">
        <w:rPr>
          <w:rFonts w:asciiTheme="majorHAnsi" w:eastAsia="Times New Roman" w:hAnsiTheme="majorHAnsi" w:cstheme="majorHAnsi"/>
          <w:b/>
          <w:sz w:val="24"/>
          <w:szCs w:val="24"/>
        </w:rPr>
        <w:t xml:space="preserve">Diversity and evolution of the squamate </w:t>
      </w:r>
      <w:proofErr w:type="spellStart"/>
      <w:r w:rsidRPr="008928AE">
        <w:rPr>
          <w:rFonts w:asciiTheme="majorHAnsi" w:eastAsia="Times New Roman" w:hAnsiTheme="majorHAnsi" w:cstheme="majorHAnsi"/>
          <w:b/>
          <w:sz w:val="24"/>
          <w:szCs w:val="24"/>
        </w:rPr>
        <w:t>hemipenis</w:t>
      </w:r>
      <w:proofErr w:type="spellEnd"/>
      <w:r w:rsidRPr="008928AE">
        <w:rPr>
          <w:rFonts w:asciiTheme="majorHAnsi" w:eastAsia="Times New Roman" w:hAnsiTheme="majorHAnsi" w:cstheme="majorHAnsi"/>
          <w:b/>
          <w:sz w:val="24"/>
          <w:szCs w:val="24"/>
        </w:rPr>
        <w:t>: an overview with particular reference to the origin and early history of snakes</w:t>
      </w:r>
    </w:p>
    <w:p w14:paraId="00000003" w14:textId="77777777" w:rsidR="000F56E2" w:rsidRPr="008928AE" w:rsidRDefault="000F56E2">
      <w:pPr>
        <w:spacing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0000004" w14:textId="77777777" w:rsidR="000F56E2" w:rsidRPr="008928AE" w:rsidRDefault="00E114CD">
      <w:pPr>
        <w:spacing w:line="360" w:lineRule="auto"/>
        <w:jc w:val="both"/>
        <w:rPr>
          <w:rFonts w:asciiTheme="majorHAnsi" w:eastAsia="Times New Roman" w:hAnsiTheme="majorHAnsi" w:cstheme="majorHAnsi"/>
          <w:smallCaps/>
          <w:sz w:val="24"/>
          <w:szCs w:val="24"/>
        </w:rPr>
      </w:pPr>
      <w:r w:rsidRPr="008928AE">
        <w:rPr>
          <w:rFonts w:asciiTheme="majorHAnsi" w:eastAsia="Times New Roman" w:hAnsiTheme="majorHAnsi" w:cstheme="majorHAnsi"/>
          <w:smallCaps/>
          <w:sz w:val="24"/>
          <w:szCs w:val="24"/>
        </w:rPr>
        <w:t xml:space="preserve">Giovanna G. </w:t>
      </w:r>
      <w:proofErr w:type="spellStart"/>
      <w:r w:rsidRPr="008928AE">
        <w:rPr>
          <w:rFonts w:asciiTheme="majorHAnsi" w:eastAsia="Times New Roman" w:hAnsiTheme="majorHAnsi" w:cstheme="majorHAnsi"/>
          <w:smallCaps/>
          <w:sz w:val="24"/>
          <w:szCs w:val="24"/>
        </w:rPr>
        <w:t>Montingelli</w:t>
      </w:r>
      <w:proofErr w:type="spellEnd"/>
      <w:r w:rsidRPr="008928AE">
        <w:rPr>
          <w:rFonts w:asciiTheme="majorHAnsi" w:eastAsia="Times New Roman" w:hAnsiTheme="majorHAnsi" w:cstheme="majorHAnsi"/>
          <w:smallCaps/>
          <w:sz w:val="24"/>
          <w:szCs w:val="24"/>
        </w:rPr>
        <w:t xml:space="preserve">, David J. Gower and Hussam Zaher </w:t>
      </w:r>
    </w:p>
    <w:p w14:paraId="00000005" w14:textId="77777777" w:rsidR="000F56E2" w:rsidRPr="008928AE" w:rsidRDefault="000F56E2">
      <w:pPr>
        <w:spacing w:line="360" w:lineRule="auto"/>
        <w:jc w:val="both"/>
        <w:rPr>
          <w:rFonts w:asciiTheme="majorHAnsi" w:eastAsia="Times New Roman" w:hAnsiTheme="majorHAnsi" w:cstheme="majorHAnsi"/>
          <w:smallCaps/>
          <w:sz w:val="24"/>
          <w:szCs w:val="24"/>
        </w:rPr>
      </w:pPr>
    </w:p>
    <w:p w14:paraId="00000006" w14:textId="77777777" w:rsidR="000F56E2" w:rsidRPr="008928AE" w:rsidRDefault="00E114CD">
      <w:pPr>
        <w:spacing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8928AE">
        <w:rPr>
          <w:rFonts w:asciiTheme="majorHAnsi" w:eastAsia="Times New Roman" w:hAnsiTheme="majorHAnsi" w:cstheme="majorHAnsi"/>
          <w:b/>
          <w:sz w:val="24"/>
          <w:szCs w:val="24"/>
        </w:rPr>
        <w:t>Abstract</w:t>
      </w:r>
    </w:p>
    <w:p w14:paraId="00000007" w14:textId="77777777" w:rsidR="000F56E2" w:rsidRPr="008928AE" w:rsidRDefault="000F56E2">
      <w:pPr>
        <w:rPr>
          <w:rFonts w:asciiTheme="majorHAnsi" w:hAnsiTheme="majorHAnsi" w:cstheme="majorHAnsi"/>
        </w:rPr>
      </w:pPr>
    </w:p>
    <w:p w14:paraId="00000008" w14:textId="78735817" w:rsidR="000F56E2" w:rsidRPr="008928AE" w:rsidRDefault="4B4E24EE">
      <w:pPr>
        <w:rPr>
          <w:rFonts w:asciiTheme="majorHAnsi" w:hAnsiTheme="majorHAnsi" w:cstheme="majorHAnsi"/>
        </w:rPr>
      </w:pPr>
      <w:proofErr w:type="spellStart"/>
      <w:r w:rsidRPr="008928AE">
        <w:rPr>
          <w:rFonts w:asciiTheme="majorHAnsi" w:hAnsiTheme="majorHAnsi" w:cstheme="majorHAnsi"/>
        </w:rPr>
        <w:t>Hemipenes</w:t>
      </w:r>
      <w:proofErr w:type="spellEnd"/>
      <w:r w:rsidRPr="008928AE">
        <w:rPr>
          <w:rFonts w:asciiTheme="majorHAnsi" w:hAnsiTheme="majorHAnsi" w:cstheme="majorHAnsi"/>
        </w:rPr>
        <w:t xml:space="preserve"> (a squamate synapomorphy) have yielded much systematic data, but knowledge of </w:t>
      </w:r>
      <w:proofErr w:type="spellStart"/>
      <w:r w:rsidRPr="008928AE">
        <w:rPr>
          <w:rFonts w:asciiTheme="majorHAnsi" w:hAnsiTheme="majorHAnsi" w:cstheme="majorHAnsi"/>
        </w:rPr>
        <w:t>hemipenial</w:t>
      </w:r>
      <w:proofErr w:type="spellEnd"/>
      <w:r w:rsidRPr="008928AE">
        <w:rPr>
          <w:rFonts w:asciiTheme="majorHAnsi" w:hAnsiTheme="majorHAnsi" w:cstheme="majorHAnsi"/>
        </w:rPr>
        <w:t xml:space="preserve"> morphological diversity remains very patchy, and there have been few, if any, attempts to infer changes across the lizard–snake transition. We assess external morphology of everted </w:t>
      </w:r>
      <w:proofErr w:type="spellStart"/>
      <w:r w:rsidRPr="008928AE">
        <w:rPr>
          <w:rFonts w:asciiTheme="majorHAnsi" w:hAnsiTheme="majorHAnsi" w:cstheme="majorHAnsi"/>
        </w:rPr>
        <w:t>hemipenes</w:t>
      </w:r>
      <w:proofErr w:type="spellEnd"/>
      <w:r w:rsidRPr="008928AE">
        <w:rPr>
          <w:rFonts w:asciiTheme="majorHAnsi" w:hAnsiTheme="majorHAnsi" w:cstheme="majorHAnsi"/>
        </w:rPr>
        <w:t xml:space="preserve"> of all major extant squamate lineages, reviewing and synthesizing literature and presenting new descriptions and photographs for some taxa. Summarizing information across Squamata from mostly published data is challenging because of (</w:t>
      </w:r>
      <w:proofErr w:type="spellStart"/>
      <w:r w:rsidRPr="008928AE">
        <w:rPr>
          <w:rFonts w:asciiTheme="majorHAnsi" w:hAnsiTheme="majorHAnsi" w:cstheme="majorHAnsi"/>
        </w:rPr>
        <w:t>i</w:t>
      </w:r>
      <w:proofErr w:type="spellEnd"/>
      <w:r w:rsidRPr="008928AE">
        <w:rPr>
          <w:rFonts w:asciiTheme="majorHAnsi" w:hAnsiTheme="majorHAnsi" w:cstheme="majorHAnsi"/>
        </w:rPr>
        <w:t xml:space="preserve">) patchy taxonomic coverage, (ii) uncertainty as to whether described </w:t>
      </w:r>
      <w:proofErr w:type="spellStart"/>
      <w:r w:rsidRPr="008928AE">
        <w:rPr>
          <w:rFonts w:asciiTheme="majorHAnsi" w:hAnsiTheme="majorHAnsi" w:cstheme="majorHAnsi"/>
        </w:rPr>
        <w:t>hemipenes</w:t>
      </w:r>
      <w:proofErr w:type="spellEnd"/>
      <w:r w:rsidRPr="008928AE">
        <w:rPr>
          <w:rFonts w:asciiTheme="majorHAnsi" w:hAnsiTheme="majorHAnsi" w:cstheme="majorHAnsi"/>
        </w:rPr>
        <w:t xml:space="preserve"> are fully everted and/or inflated, (iii) interpreting mixed text, photographs and drawings, (iv) non-standardized, sometimes confusing terminology, (v) shifting views of squamate phylogeny. </w:t>
      </w:r>
      <w:r w:rsidR="008928AE" w:rsidRPr="008928AE">
        <w:rPr>
          <w:rFonts w:asciiTheme="majorHAnsi" w:hAnsiTheme="majorHAnsi" w:cstheme="majorHAnsi"/>
        </w:rPr>
        <w:t>However, w</w:t>
      </w:r>
      <w:r w:rsidR="008928AE" w:rsidRPr="008928AE">
        <w:rPr>
          <w:rFonts w:asciiTheme="majorHAnsi" w:hAnsiTheme="majorHAnsi" w:cstheme="majorHAnsi"/>
        </w:rPr>
        <w:t xml:space="preserve">e </w:t>
      </w:r>
      <w:r w:rsidRPr="008928AE">
        <w:rPr>
          <w:rFonts w:asciiTheme="majorHAnsi" w:hAnsiTheme="majorHAnsi" w:cstheme="majorHAnsi"/>
        </w:rPr>
        <w:t xml:space="preserve">provide suggestions towards a </w:t>
      </w:r>
      <w:r w:rsidR="008928AE" w:rsidRPr="008928AE">
        <w:rPr>
          <w:rFonts w:asciiTheme="majorHAnsi" w:hAnsiTheme="majorHAnsi" w:cstheme="majorHAnsi"/>
        </w:rPr>
        <w:t>unif</w:t>
      </w:r>
      <w:r w:rsidR="008928AE" w:rsidRPr="008928AE">
        <w:rPr>
          <w:rFonts w:asciiTheme="majorHAnsi" w:hAnsiTheme="majorHAnsi" w:cstheme="majorHAnsi"/>
        </w:rPr>
        <w:t>ied</w:t>
      </w:r>
      <w:r w:rsidR="008928AE" w:rsidRPr="008928AE">
        <w:rPr>
          <w:rFonts w:asciiTheme="majorHAnsi" w:hAnsiTheme="majorHAnsi" w:cstheme="majorHAnsi"/>
        </w:rPr>
        <w:t xml:space="preserve"> </w:t>
      </w:r>
      <w:r w:rsidRPr="008928AE">
        <w:rPr>
          <w:rFonts w:asciiTheme="majorHAnsi" w:hAnsiTheme="majorHAnsi" w:cstheme="majorHAnsi"/>
        </w:rPr>
        <w:t>terminology for squamate</w:t>
      </w:r>
      <w:r w:rsidR="008928AE" w:rsidRPr="008928AE">
        <w:rPr>
          <w:rFonts w:asciiTheme="majorHAnsi" w:hAnsiTheme="majorHAnsi" w:cstheme="majorHAnsi"/>
        </w:rPr>
        <w:t xml:space="preserve"> </w:t>
      </w:r>
      <w:proofErr w:type="spellStart"/>
      <w:r w:rsidR="008928AE" w:rsidRPr="008928AE">
        <w:rPr>
          <w:rFonts w:asciiTheme="majorHAnsi" w:hAnsiTheme="majorHAnsi" w:cstheme="majorHAnsi"/>
        </w:rPr>
        <w:t>hemipenial</w:t>
      </w:r>
      <w:proofErr w:type="spellEnd"/>
      <w:r w:rsidR="008928AE" w:rsidRPr="008928AE">
        <w:rPr>
          <w:rFonts w:asciiTheme="majorHAnsi" w:hAnsiTheme="majorHAnsi" w:cstheme="majorHAnsi"/>
        </w:rPr>
        <w:t xml:space="preserve"> morphology</w:t>
      </w:r>
      <w:r w:rsidRPr="008928AE">
        <w:rPr>
          <w:rFonts w:asciiTheme="majorHAnsi" w:hAnsiTheme="majorHAnsi" w:cstheme="majorHAnsi"/>
        </w:rPr>
        <w:t xml:space="preserve">, and score 24 major lineages for 10 </w:t>
      </w:r>
      <w:proofErr w:type="spellStart"/>
      <w:r w:rsidRPr="008928AE">
        <w:rPr>
          <w:rFonts w:asciiTheme="majorHAnsi" w:hAnsiTheme="majorHAnsi" w:cstheme="majorHAnsi"/>
        </w:rPr>
        <w:t>hemipenial</w:t>
      </w:r>
      <w:proofErr w:type="spellEnd"/>
      <w:r w:rsidRPr="008928AE">
        <w:rPr>
          <w:rFonts w:asciiTheme="majorHAnsi" w:hAnsiTheme="majorHAnsi" w:cstheme="majorHAnsi"/>
        </w:rPr>
        <w:t xml:space="preserve"> traits. Using a backbone molecular phylogenetic tree, we infer likely ancestral states as follows. (1) Ancestral </w:t>
      </w:r>
      <w:proofErr w:type="spellStart"/>
      <w:r w:rsidRPr="008928AE">
        <w:rPr>
          <w:rFonts w:asciiTheme="majorHAnsi" w:hAnsiTheme="majorHAnsi" w:cstheme="majorHAnsi"/>
        </w:rPr>
        <w:t>toxicoferan</w:t>
      </w:r>
      <w:proofErr w:type="spellEnd"/>
      <w:r w:rsidRPr="008928AE">
        <w:rPr>
          <w:rFonts w:asciiTheme="majorHAnsi" w:hAnsiTheme="majorHAnsi" w:cstheme="majorHAnsi"/>
        </w:rPr>
        <w:t xml:space="preserve">: slightly bilobed </w:t>
      </w:r>
      <w:proofErr w:type="spellStart"/>
      <w:r w:rsidRPr="008928AE">
        <w:rPr>
          <w:rFonts w:asciiTheme="majorHAnsi" w:hAnsiTheme="majorHAnsi" w:cstheme="majorHAnsi"/>
        </w:rPr>
        <w:t>hemipenis</w:t>
      </w:r>
      <w:proofErr w:type="spellEnd"/>
      <w:r w:rsidRPr="008928AE">
        <w:rPr>
          <w:rFonts w:asciiTheme="majorHAnsi" w:hAnsiTheme="majorHAnsi" w:cstheme="majorHAnsi"/>
        </w:rPr>
        <w:t xml:space="preserve">; simple, flared sulcus </w:t>
      </w:r>
      <w:proofErr w:type="spellStart"/>
      <w:r w:rsidRPr="008928AE">
        <w:rPr>
          <w:rFonts w:asciiTheme="majorHAnsi" w:hAnsiTheme="majorHAnsi" w:cstheme="majorHAnsi"/>
        </w:rPr>
        <w:t>spermaticus</w:t>
      </w:r>
      <w:proofErr w:type="spellEnd"/>
      <w:r w:rsidRPr="008928AE">
        <w:rPr>
          <w:rFonts w:asciiTheme="majorHAnsi" w:hAnsiTheme="majorHAnsi" w:cstheme="majorHAnsi"/>
        </w:rPr>
        <w:t xml:space="preserve">; lack of spines; possibly flounce-like transverse flanges on body. (2) Ancestral snake: simple, flared sulcus with closely spaced, symmetrical lips; lack of spines; lack of lobular calyces; possibly unilobed </w:t>
      </w:r>
      <w:proofErr w:type="spellStart"/>
      <w:r w:rsidRPr="008928AE">
        <w:rPr>
          <w:rFonts w:asciiTheme="majorHAnsi" w:hAnsiTheme="majorHAnsi" w:cstheme="majorHAnsi"/>
        </w:rPr>
        <w:t>hemipenis</w:t>
      </w:r>
      <w:proofErr w:type="spellEnd"/>
      <w:r w:rsidRPr="008928AE">
        <w:rPr>
          <w:rFonts w:asciiTheme="majorHAnsi" w:hAnsiTheme="majorHAnsi" w:cstheme="majorHAnsi"/>
        </w:rPr>
        <w:t xml:space="preserve">. (3) Ancestral </w:t>
      </w:r>
      <w:proofErr w:type="spellStart"/>
      <w:r w:rsidRPr="008928AE">
        <w:rPr>
          <w:rFonts w:asciiTheme="majorHAnsi" w:hAnsiTheme="majorHAnsi" w:cstheme="majorHAnsi"/>
        </w:rPr>
        <w:t>alethinophidian</w:t>
      </w:r>
      <w:proofErr w:type="spellEnd"/>
      <w:r w:rsidRPr="008928AE">
        <w:rPr>
          <w:rFonts w:asciiTheme="majorHAnsi" w:hAnsiTheme="majorHAnsi" w:cstheme="majorHAnsi"/>
        </w:rPr>
        <w:t xml:space="preserve">: moderately to deeply bilobed </w:t>
      </w:r>
      <w:proofErr w:type="spellStart"/>
      <w:r w:rsidRPr="008928AE">
        <w:rPr>
          <w:rFonts w:asciiTheme="majorHAnsi" w:hAnsiTheme="majorHAnsi" w:cstheme="majorHAnsi"/>
        </w:rPr>
        <w:t>hemipenis</w:t>
      </w:r>
      <w:proofErr w:type="spellEnd"/>
      <w:r w:rsidRPr="008928AE">
        <w:rPr>
          <w:rFonts w:asciiTheme="majorHAnsi" w:hAnsiTheme="majorHAnsi" w:cstheme="majorHAnsi"/>
        </w:rPr>
        <w:t>; lobular flounces; lack of spines; centripetal, bifurcate sulcus reaching tips of lobes.</w:t>
      </w:r>
    </w:p>
    <w:p w14:paraId="00000009" w14:textId="77777777" w:rsidR="000F56E2" w:rsidRPr="008928AE" w:rsidRDefault="000F56E2">
      <w:pPr>
        <w:rPr>
          <w:rFonts w:asciiTheme="majorHAnsi" w:hAnsiTheme="majorHAnsi" w:cstheme="majorHAnsi"/>
        </w:rPr>
      </w:pPr>
    </w:p>
    <w:p w14:paraId="0000000A" w14:textId="77777777" w:rsidR="000F56E2" w:rsidRPr="008928AE" w:rsidRDefault="000F56E2">
      <w:pPr>
        <w:rPr>
          <w:rFonts w:asciiTheme="majorHAnsi" w:hAnsiTheme="majorHAnsi" w:cstheme="majorHAnsi"/>
        </w:rPr>
      </w:pPr>
      <w:bookmarkStart w:id="0" w:name="_GoBack"/>
      <w:bookmarkEnd w:id="0"/>
    </w:p>
    <w:sectPr w:rsidR="000F56E2" w:rsidRPr="008928A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6E2"/>
    <w:rsid w:val="000F56E2"/>
    <w:rsid w:val="00191DEA"/>
    <w:rsid w:val="008928AE"/>
    <w:rsid w:val="00D94229"/>
    <w:rsid w:val="00E114CD"/>
    <w:rsid w:val="00F20709"/>
    <w:rsid w:val="4B4E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A8422C"/>
  <w15:docId w15:val="{EBFB1D54-5553-534B-9122-1A4F1902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70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70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Gower</cp:lastModifiedBy>
  <cp:revision>2</cp:revision>
  <dcterms:created xsi:type="dcterms:W3CDTF">2021-08-22T19:04:00Z</dcterms:created>
  <dcterms:modified xsi:type="dcterms:W3CDTF">2021-08-22T19:04:00Z</dcterms:modified>
</cp:coreProperties>
</file>