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200" w:rsidRPr="00C25200" w:rsidRDefault="00C25200" w:rsidP="00990151">
      <w:pPr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C2520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13</w:t>
      </w: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Survival and energy</w:t>
      </w:r>
    </w:p>
    <w:p w:rsidR="005B3EB6" w:rsidRDefault="006D5B6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Abram, F.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D5B6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Evolutionary trade-offs between growth and survival: The delicate balance between reproductive success and longevity in bacteria. </w:t>
      </w:r>
      <w:r w:rsidRPr="006049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Advances in Microbial Physiology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D5B6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79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6D5B6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133-162.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Pr="006D5B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https://doi.org/10.1016/bs.ampbs.2021.07.002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4845" w:rsidRDefault="006D5B6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Arnaouteli</w:t>
      </w:r>
      <w:proofErr w:type="spellEnd"/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S.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6D5B6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Bacillus subtilis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biofilm formation and social interactions. </w:t>
      </w:r>
      <w:r w:rsidRPr="006049A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Nature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Reviews Microbiology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D5B6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19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(9)</w:t>
      </w:r>
      <w:r w:rsid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600-614.</w:t>
      </w:r>
      <w:r w:rsid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" w:history="1">
        <w:r w:rsidR="00C04EB8" w:rsidRPr="00C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https://doi.org/10.1038/s41579-021-00540-9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4845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Balakrishnan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R.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Suboptimal resource allocation in changing environments constrains response and growth in bacteria.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Systems Biology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4EB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e10597.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C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https://doi.org/10.15252/msb.202110597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04EB8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Boecker</w:t>
      </w:r>
      <w:proofErr w:type="spellEnd"/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S.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Deciphering the physiological response of </w:t>
      </w:r>
      <w:r w:rsidRPr="00C04EB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high ATP demand.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Systems Biology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C04EB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10504.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" w:history="1">
        <w:r w:rsidRPr="00C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https://doi.org/10.15252/msb.202110504</w:t>
        </w:r>
      </w:hyperlink>
    </w:p>
    <w:p w:rsidR="00C04EB8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04EB8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Feaga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H. A.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Dworkin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(2021). Transcription regulates ribosome hibernation.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B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663-673.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4B3D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https://doi.org/10.1111/mmi.14762</w:t>
        </w:r>
      </w:hyperlink>
    </w:p>
    <w:p w:rsidR="00C04EB8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C04EB8" w:rsidRDefault="006829F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Lee, K. </w:t>
      </w:r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Why does </w:t>
      </w:r>
      <w:proofErr w:type="spellStart"/>
      <w:r w:rsidRPr="006829F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Cronobacter</w:t>
      </w:r>
      <w:proofErr w:type="spellEnd"/>
      <w:r w:rsidRPr="006829F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6829F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sakazakii</w:t>
      </w:r>
      <w:proofErr w:type="spellEnd"/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survive for a long time in dry environments? Contribution of the glass transition of dried bacterial cells. </w:t>
      </w:r>
      <w:r w:rsidRPr="00222EF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Microbiology Spectrum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829F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9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(3)</w:t>
      </w:r>
      <w:r w:rsidR="00222EF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e01384-21.</w:t>
      </w:r>
      <w:r w:rsidR="00222EF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="00222EF3" w:rsidRPr="00222EF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https://journals.asm.org/doi/abs/10.1128/spectrum.01384-21</w:t>
        </w:r>
      </w:hyperlink>
    </w:p>
    <w:p w:rsidR="00C04EB8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McKinlay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J. B.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(2020). Microbial energy management—A product of three broad tradeoffs.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Advances in Microbial Physiology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77</w:t>
      </w:r>
      <w:r w:rsidRPr="007B1A42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>,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 xml:space="preserve"> 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139-185.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https://doi.org/10.1016/bs.ampbs.2020.09.001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B1A42" w:rsidRDefault="00572A1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72A1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Shoemaker, W. R. </w:t>
      </w:r>
      <w:r w:rsidRPr="00572A1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Microbial population dynamics and evolutionary outcomes under extreme energy limitation. </w:t>
      </w:r>
      <w:r w:rsidRPr="00572A1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Proceedings of the National Academy of Sciences of the USA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2A1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118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(33)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e2101691118.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4" w:history="1">
        <w:r w:rsidRPr="00572A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https://www.pnas.org/content/pnas/118/33/e2101691118.full.pdf</w:t>
        </w:r>
      </w:hyperlink>
    </w:p>
    <w:p w:rsidR="00C04EB8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val="en-GB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Carbohydrate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1C4845" w:rsidRPr="008E091C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E091C" w:rsidRPr="008E091C" w:rsidRDefault="008E091C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Lipid </w:t>
      </w: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reserve materials</w:t>
      </w:r>
    </w:p>
    <w:p w:rsidR="001C4845" w:rsidRDefault="00655C2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Cui, P. </w:t>
      </w:r>
      <w:r w:rsidRPr="00655C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Co-production of </w:t>
      </w:r>
      <w:proofErr w:type="spellStart"/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polyhydroxybutyrate</w:t>
      </w:r>
      <w:proofErr w:type="spellEnd"/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(PHB) and coenzyme Q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10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(CoQ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10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) via no-sugar fermentation—a case by </w:t>
      </w:r>
      <w:proofErr w:type="spellStart"/>
      <w:r w:rsidRPr="00655C2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Methylobacterium</w:t>
      </w:r>
      <w:proofErr w:type="spellEnd"/>
      <w:r w:rsidRPr="00655C2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XJLW. </w:t>
      </w:r>
      <w:r w:rsidRPr="00655C2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Annals of Microbiology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55C2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71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5" w:history="1">
        <w:r w:rsidRPr="00655C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https://doi.org/10.1186/s13213-021-01632-w</w:t>
        </w:r>
      </w:hyperlink>
    </w:p>
    <w:p w:rsidR="005B3EB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4845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Eronen-Rasimus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E.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 (2021). Sea-ice bacteria</w:t>
      </w:r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Halomonas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sp. strain 363 and </w:t>
      </w:r>
      <w:proofErr w:type="spellStart"/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Paracoccus</w:t>
      </w:r>
      <w:proofErr w:type="spellEnd"/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strain 392 produce multiple types of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oly-3-hydroxyalkaonoic acid (PHA) storage polymers at low temperature.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B3DB1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87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e00929-21.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6" w:history="1">
        <w:r w:rsidRPr="004B3D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https://journals.asm.org/doi/abs/10.1128/AEM.00929-21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4845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Mitra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R.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(in press). An updated overview on the regulatory circuits of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synthesis.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Biotechnology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7" w:history="1">
        <w:r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https://doi.org/10.1111/1751-7915.13915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C4845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Nygaard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D.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PHA granule formation and degradation by </w:t>
      </w:r>
      <w:proofErr w:type="spellStart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Cupriavidus</w:t>
      </w:r>
      <w:proofErr w:type="spellEnd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necator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different nutritional conditions.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Basic Microbiology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61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825-834.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8" w:history="1">
        <w:r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https://doi.org/10.1002/jobm.202100184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Oliveira-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Filho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E. R.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proofErr w:type="spellStart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Burkholderia</w:t>
      </w:r>
      <w:proofErr w:type="spellEnd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</w:t>
      </w:r>
      <w:proofErr w:type="spellStart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sacchari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(synonym </w:t>
      </w:r>
      <w:proofErr w:type="spellStart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Paraburkholderia</w:t>
      </w:r>
      <w:proofErr w:type="spellEnd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</w:t>
      </w:r>
      <w:proofErr w:type="spellStart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sacchari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): An industrial and versatile bacterial chassis for sustainable biosynthesis of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other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bioproducts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proofErr w:type="spellStart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337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125472.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9" w:history="1">
        <w:r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https://doi.org/10.1016/j.biortech.2021.125472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7B1A42" w:rsidRDefault="002175C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Pinto-</w:t>
      </w:r>
      <w:proofErr w:type="spellStart"/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Ibieta</w:t>
      </w:r>
      <w:proofErr w:type="spellEnd"/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F. </w:t>
      </w:r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Beyond PHA: Stimulating intracellular accumulation of added-value compounds in mixed microbial cultures. </w:t>
      </w:r>
      <w:proofErr w:type="spellStart"/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175C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337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125381.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0" w:history="1">
        <w:r w:rsidRPr="002175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https://doi.org/10.1016/j.biortech.2021.125381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7DD6" w:rsidRDefault="005B7DD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Tan, D.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7DD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 (2021). Grand challenges for industrializin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g </w:t>
      </w:r>
      <w:proofErr w:type="spellStart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polyhydroxyalkanoates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(PHAs).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7DD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Trends in Biotechnology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B7DD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39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5B7DD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953-963.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1" w:history="1">
        <w:r w:rsidRPr="005B7DD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https://doi.org/10.1016/j.tibtech.2020.11.010</w:t>
        </w:r>
      </w:hyperlink>
    </w:p>
    <w:p w:rsidR="005B7DD6" w:rsidRDefault="005B7DD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5B7DD6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Yadav, B.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87E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Concomitant production of value-added products with </w:t>
      </w:r>
      <w:proofErr w:type="spellStart"/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polyhydroxyalkanoate</w:t>
      </w:r>
      <w:proofErr w:type="spellEnd"/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(PHA) synthesis: A review. </w:t>
      </w:r>
      <w:proofErr w:type="spellStart"/>
      <w:r w:rsidRPr="00987E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Bioresource</w:t>
      </w:r>
      <w:proofErr w:type="spellEnd"/>
      <w:r w:rsidRPr="00987E4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Technology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987E4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337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125419.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2" w:history="1">
        <w:r w:rsidRPr="00987E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https://doi.org/10.1016/j.biortech.2021.125419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Polypeptide 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reserve materials</w:t>
      </w: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</w:t>
      </w:r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456E2" w:rsidRPr="00C25200" w:rsidRDefault="000456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Polyphosphate</w:t>
      </w:r>
    </w:p>
    <w:p w:rsidR="005B3EB6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Bowlin</w:t>
      </w:r>
      <w:proofErr w:type="spellEnd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Q. </w:t>
      </w:r>
      <w:r w:rsidR="00D0372F"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Gray</w:t>
      </w:r>
      <w:r w:rsidR="00D03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="00D0372F"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M. J. 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Inorganic polyphosphate in host and microbe biology. </w:t>
      </w:r>
      <w:r w:rsidRPr="00D037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E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="00D0372F">
        <w:rPr>
          <w:rFonts w:ascii="Times New Roman" w:eastAsia="맑은 고딕" w:hAnsi="Times New Roman" w:cs="Times New Roman"/>
          <w:kern w:val="0"/>
          <w:sz w:val="24"/>
          <w:szCs w:val="24"/>
        </w:rPr>
        <w:t>, 1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013-1023.</w:t>
      </w:r>
      <w:r w:rsidR="00D037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="00655C2F" w:rsidRPr="00655C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https://doi.org/10.1016/j.tim.2021.02.002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Petriglieri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F. </w:t>
      </w:r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. (2021). “</w:t>
      </w:r>
      <w:proofErr w:type="spellStart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Candidatus</w:t>
      </w:r>
      <w:proofErr w:type="spellEnd"/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Dechloromonas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phosphoritropha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” and “</w:t>
      </w:r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D. </w:t>
      </w:r>
      <w:proofErr w:type="spellStart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phosphorivorans</w:t>
      </w:r>
      <w:proofErr w:type="spellEnd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”, novel polyphosphate accumulating organisms abundant in wastewater treatment systems. </w:t>
      </w:r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15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 w:rsidR="002175C8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3605-3614.</w:t>
      </w:r>
      <w:r w:rsid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="002175C8" w:rsidRPr="002175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https://doi.org/10.1038/s41396-021-01029-2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987E4A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>Wimmer</w:t>
      </w:r>
      <w:proofErr w:type="spellEnd"/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J. L. E. </w:t>
      </w:r>
      <w:r w:rsidRPr="00987E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Pyrophosphate and irreversibility in evolution, or why </w:t>
      </w:r>
      <w:proofErr w:type="spellStart"/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>PPi</w:t>
      </w:r>
      <w:proofErr w:type="spellEnd"/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is not an energy currency and why nature chose triphosphates. </w:t>
      </w:r>
      <w:r w:rsidRPr="00987E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87E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87E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2999.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987E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https://www.frontiersin.org/article/10.3389/fmicb.2021.759359</w:t>
        </w:r>
      </w:hyperlink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6049AE" w:rsidRPr="00401C2C" w:rsidRDefault="006049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val="en-GB" w:eastAsia="en-US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Resting cells</w:t>
      </w:r>
      <w:r w:rsidRPr="00C2520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  <w:lang w:val="en-GB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Sporulation</w:t>
      </w:r>
    </w:p>
    <w:p w:rsidR="005B3EB6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Edwards, A. N.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proofErr w:type="gram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c-di-GMP</w:t>
      </w:r>
      <w:proofErr w:type="gramEnd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inhibits early sporulation in </w:t>
      </w:r>
      <w:proofErr w:type="spellStart"/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</w:t>
      </w:r>
      <w:proofErr w:type="spellEnd"/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difficile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proofErr w:type="spellEnd"/>
      <w:proofErr w:type="gramEnd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>e00919-21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4B3D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https://doi.org/10.1128/msphere.00919-21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6829F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Jones, A. A. </w:t>
      </w:r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Evidence of sporulation capability of the ubiquitous oil reservoir microbe </w:t>
      </w:r>
      <w:proofErr w:type="spellStart"/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Halanaerobium</w:t>
      </w:r>
      <w:proofErr w:type="spellEnd"/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</w:t>
      </w:r>
      <w:proofErr w:type="spellStart"/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congolense</w:t>
      </w:r>
      <w:proofErr w:type="spellEnd"/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Geomicrobiology</w:t>
      </w:r>
      <w:proofErr w:type="spellEnd"/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Journal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29F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283-293.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6829F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https://doi.org/10.1080/01490451.2020.1842944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A364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Sun, G. </w:t>
      </w:r>
      <w:r w:rsidRPr="00A364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>. (2021). Regulation of pro-</w:t>
      </w:r>
      <w:proofErr w:type="spellStart"/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>σK</w:t>
      </w:r>
      <w:proofErr w:type="spellEnd"/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activation: a key checkpoint in </w:t>
      </w:r>
      <w:r w:rsidRPr="00A364E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subtilis </w:t>
      </w: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sporulation. </w:t>
      </w:r>
      <w:r w:rsidRPr="00A364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364E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2366-2373.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Pr="00A364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https://doi.org/10.1111/1462-2920.15415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Cysts</w:t>
      </w:r>
    </w:p>
    <w:p w:rsidR="001C4845" w:rsidRPr="00507996" w:rsidRDefault="001C4845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507996" w:rsidRPr="00507996" w:rsidRDefault="00507996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Cs/>
          <w:kern w:val="0"/>
          <w:sz w:val="24"/>
          <w:szCs w:val="24"/>
          <w:lang w:eastAsia="en-US"/>
        </w:rPr>
      </w:pPr>
    </w:p>
    <w:p w:rsidR="00C25200" w:rsidRPr="00C25200" w:rsidRDefault="00C25200" w:rsidP="001B55E1">
      <w:pPr>
        <w:keepNext/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Viable but non-</w:t>
      </w:r>
      <w:proofErr w:type="spellStart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culturable</w:t>
      </w:r>
      <w:proofErr w:type="spellEnd"/>
      <w:r w:rsidRPr="00C25200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 xml:space="preserve"> (VBNC) cells</w:t>
      </w:r>
    </w:p>
    <w:p w:rsidR="005B3EB6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Arvaniti</w:t>
      </w:r>
      <w:proofErr w:type="spellEnd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C04EB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Listeria monocytogenes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proofErr w:type="spellStart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sublethal</w:t>
      </w:r>
      <w:proofErr w:type="spellEnd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injury and viable-but-</w:t>
      </w:r>
      <w:proofErr w:type="spellStart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nonculturable</w:t>
      </w:r>
      <w:proofErr w:type="spellEnd"/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state induced by acidic conditions and disinfectants. </w:t>
      </w:r>
      <w:r w:rsidRPr="00C04EB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 Spectrum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04EB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</w:t>
      </w:r>
      <w:r w:rsidRPr="00C04EB8">
        <w:rPr>
          <w:rFonts w:ascii="Times New Roman" w:eastAsia="맑은 고딕" w:hAnsi="Times New Roman" w:cs="Times New Roman"/>
          <w:kern w:val="0"/>
          <w:sz w:val="24"/>
          <w:szCs w:val="24"/>
        </w:rPr>
        <w:t>(3): e01377-21.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9" w:history="1">
        <w:r w:rsidRPr="00C04EB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https://journals.asm.org/doi/abs/10.1128/Spectrum.01377-21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4B3DB1" w:rsidRPr="004B3DB1" w:rsidRDefault="004B3DB1" w:rsidP="004B3DB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Cs/>
          <w:kern w:val="0"/>
          <w:sz w:val="24"/>
          <w:szCs w:val="24"/>
        </w:rPr>
      </w:pPr>
      <w:proofErr w:type="spellStart"/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Dewachter</w:t>
      </w:r>
      <w:proofErr w:type="spellEnd"/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, L. </w:t>
      </w:r>
      <w:r w:rsidRPr="004B3DB1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et al</w:t>
      </w:r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. (2021). The dynamic transition of persistence toward the viable but </w:t>
      </w:r>
      <w:proofErr w:type="spellStart"/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nonculturable</w:t>
      </w:r>
      <w:proofErr w:type="spellEnd"/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state during stationary phase is driven by protein aggregation. </w:t>
      </w:r>
      <w:proofErr w:type="spellStart"/>
      <w:proofErr w:type="gramStart"/>
      <w:r w:rsidRPr="004B3DB1">
        <w:rPr>
          <w:rFonts w:ascii="Times New Roman" w:eastAsia="맑은 고딕" w:hAnsi="Times New Roman" w:cs="Times New Roman"/>
          <w:bCs/>
          <w:i/>
          <w:kern w:val="0"/>
          <w:sz w:val="24"/>
          <w:szCs w:val="24"/>
        </w:rPr>
        <w:t>mBio</w:t>
      </w:r>
      <w:proofErr w:type="spellEnd"/>
      <w:proofErr w:type="gramEnd"/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4B3DB1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 xml:space="preserve">(4), e00703-21. </w:t>
      </w:r>
      <w:hyperlink r:id="rId30" w:history="1">
        <w:r w:rsidRPr="004B3DB1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</w:rPr>
          <w:t>https://journals.asm.org/doi/abs/10.1128/mBio.00703-21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6829F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>Kwun</w:t>
      </w:r>
      <w:proofErr w:type="spellEnd"/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M.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Lee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D. G. (2021). Apoptosis-like death-inducing property of </w:t>
      </w:r>
      <w:proofErr w:type="spellStart"/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>tachyplesin</w:t>
      </w:r>
      <w:proofErr w:type="spellEnd"/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 in </w:t>
      </w:r>
      <w:r w:rsidRPr="006829F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829F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29F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61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829F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795-807.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6829F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https://doi.org/10.1002/jobm.202100133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76CF" w:rsidRDefault="00D076C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Lopez Marin, M. A.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Exploring the potential of </w:t>
      </w:r>
      <w:r w:rsidRPr="00D076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Micrococcus </w:t>
      </w:r>
      <w:proofErr w:type="spellStart"/>
      <w:r w:rsidRPr="00D076C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luteus</w:t>
      </w:r>
      <w:proofErr w:type="spellEnd"/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culture supernatant with resuscitation-promoting factor for enhancing the </w:t>
      </w:r>
      <w:proofErr w:type="spellStart"/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>culturability</w:t>
      </w:r>
      <w:proofErr w:type="spellEnd"/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of soil bacteria.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076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="007B1A42">
        <w:rPr>
          <w:rFonts w:ascii="Times New Roman" w:eastAsia="맑은 고딕" w:hAnsi="Times New Roman" w:cs="Times New Roman"/>
          <w:kern w:val="0"/>
          <w:sz w:val="24"/>
          <w:szCs w:val="24"/>
        </w:rPr>
        <w:t>, 1715</w:t>
      </w:r>
      <w:r w:rsidRPr="00D076CF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2" w:history="1">
        <w:r w:rsidR="007B1A42"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https://www.frontiersin.org/article/10.3389/fmicb.2021.685263</w:t>
        </w:r>
      </w:hyperlink>
    </w:p>
    <w:p w:rsidR="00D076CF" w:rsidRDefault="00D076C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076CF" w:rsidRDefault="00572A1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Song,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Wood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T. K. (2021). ‘Viable but non-</w:t>
      </w:r>
      <w:proofErr w:type="spellStart"/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cells’ are dead. </w:t>
      </w:r>
      <w:r w:rsidRPr="00A364E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72A1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 w:rsidR="00A364E2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72A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2335-2338.</w:t>
      </w:r>
      <w:r w:rsidR="00A364E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3" w:history="1">
        <w:r w:rsidR="00A364E2" w:rsidRPr="00A364E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https://doi.org/10.1111/1462-2920.15463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049AE" w:rsidRDefault="006049AE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Zhou, M. </w:t>
      </w:r>
      <w:r w:rsidRPr="006049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Roles of virulence regulator </w:t>
      </w:r>
      <w:proofErr w:type="spellStart"/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>ToxR</w:t>
      </w:r>
      <w:proofErr w:type="spellEnd"/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viable but non-</w:t>
      </w:r>
      <w:proofErr w:type="spellStart"/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>culturable</w:t>
      </w:r>
      <w:proofErr w:type="spellEnd"/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formation by controlling reactive oxygen species resistance in pathogen </w:t>
      </w:r>
      <w:r w:rsidRPr="006049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Vibrio </w:t>
      </w:r>
      <w:proofErr w:type="spellStart"/>
      <w:r w:rsidRPr="006049AE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alginolyticus</w:t>
      </w:r>
      <w:proofErr w:type="spellEnd"/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049A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049A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049A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126900.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4" w:history="1">
        <w:r w:rsidRPr="006049A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https://doi.org/10.1016/j.micres.2021.126900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proofErr w:type="spellStart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Persister</w:t>
      </w:r>
      <w:proofErr w:type="spellEnd"/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 cell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s</w:t>
      </w:r>
    </w:p>
    <w:p w:rsidR="00034146" w:rsidRDefault="006D5B6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6D5B6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Allen, A. C. </w:t>
      </w:r>
      <w:r w:rsidRPr="006D5B6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6D5B6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Parallel in vivo experimental evolution reveals that increased stress resistance was key for the emergence of persistent tuberculosis bacilli. </w:t>
      </w:r>
      <w:r w:rsidRPr="006D5B6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Nature Microbiology</w:t>
      </w:r>
      <w:r w:rsidRPr="006D5B6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6D5B62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6</w:t>
      </w:r>
      <w:r w:rsidRPr="006D5B62">
        <w:rPr>
          <w:rFonts w:ascii="Times New Roman" w:eastAsia="맑은 고딕" w:hAnsi="Times New Roman" w:cs="Arial"/>
          <w:bCs/>
          <w:kern w:val="0"/>
          <w:sz w:val="24"/>
          <w:szCs w:val="24"/>
        </w:rPr>
        <w:t>(8)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6D5B6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1082-1093.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5" w:history="1">
        <w:r w:rsidRPr="006D5B62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https://doi.org/10.1038/s41564-021-00938-4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1C4845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Dewachter</w:t>
      </w:r>
      <w:proofErr w:type="spell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L. </w:t>
      </w:r>
      <w:r w:rsidRPr="004B3DB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The dynamic transition of persistence toward the viable but </w:t>
      </w:r>
      <w:proofErr w:type="spellStart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nonculturable</w:t>
      </w:r>
      <w:proofErr w:type="spell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state during stationary phase is driven by protein aggregation. </w:t>
      </w:r>
      <w:proofErr w:type="spellStart"/>
      <w:proofErr w:type="gramStart"/>
      <w:r w:rsidRPr="004B3DB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mBio</w:t>
      </w:r>
      <w:proofErr w:type="spellEnd"/>
      <w:proofErr w:type="gram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12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e00703-21.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6" w:history="1">
        <w:r w:rsidRPr="004B3DB1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https://journals.asm.org/doi/abs/10.1128/mBio.00703-21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4B3DB1" w:rsidRPr="004B3DB1" w:rsidRDefault="004B3DB1" w:rsidP="004B3DB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Edelmann</w:t>
      </w:r>
      <w:proofErr w:type="spell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D. </w:t>
      </w:r>
      <w:r w:rsidRPr="004B3DB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Post-transcriptional deregulation of the </w:t>
      </w:r>
      <w:proofErr w:type="spellStart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tisB</w:t>
      </w:r>
      <w:proofErr w:type="spell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/istR-1 toxin–antitoxin system promotes SOS-independent </w:t>
      </w:r>
      <w:proofErr w:type="spellStart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formation in </w:t>
      </w:r>
      <w:r w:rsidRPr="004B3DB1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Escherichia coli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</w:t>
      </w:r>
      <w:r w:rsidRPr="004B3DB1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Environmental Microbiology Reports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13</w:t>
      </w:r>
      <w:r w:rsidRPr="004B3DB1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(2), 159-168. </w:t>
      </w:r>
      <w:hyperlink r:id="rId37" w:history="1">
        <w:r w:rsidRPr="004B3DB1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https://doi.org/10.1111/1758-2229.12919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1C4845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Montgomery, K. </w:t>
      </w:r>
      <w:r w:rsidRPr="007B1A4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Persistence and resistance: survival mechanisms of </w:t>
      </w:r>
      <w:r w:rsidR="0095390C">
        <w:rPr>
          <w:rFonts w:ascii="Times New Roman" w:eastAsia="맑은 고딕" w:hAnsi="Times New Roman" w:cs="Arial"/>
          <w:bCs/>
          <w:kern w:val="0"/>
          <w:sz w:val="24"/>
          <w:szCs w:val="24"/>
        </w:rPr>
        <w:t>‘</w:t>
      </w:r>
      <w:proofErr w:type="spellStart"/>
      <w:r w:rsidRPr="007B1A42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>Candidatus</w:t>
      </w:r>
      <w:proofErr w:type="spellEnd"/>
      <w:r w:rsidRPr="007B1A42">
        <w:rPr>
          <w:rFonts w:ascii="Times New Roman" w:eastAsia="맑은 고딕" w:hAnsi="Times New Roman" w:cs="Arial"/>
          <w:bCs/>
          <w:i/>
          <w:iCs/>
          <w:kern w:val="0"/>
          <w:sz w:val="24"/>
          <w:szCs w:val="24"/>
        </w:rPr>
        <w:t xml:space="preserve"> </w:t>
      </w:r>
      <w:proofErr w:type="spellStart"/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>Dormibacterota</w:t>
      </w:r>
      <w:proofErr w:type="spellEnd"/>
      <w:r w:rsidR="0095390C">
        <w:rPr>
          <w:rFonts w:ascii="Times New Roman" w:eastAsia="맑은 고딕" w:hAnsi="Times New Roman" w:cs="Arial"/>
          <w:bCs/>
          <w:kern w:val="0"/>
          <w:sz w:val="24"/>
          <w:szCs w:val="24"/>
        </w:rPr>
        <w:t>’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from nutrient-poor Antarctic soils. </w:t>
      </w:r>
      <w:r w:rsidRPr="007B1A4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Environmental Microbiology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7B1A42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23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>(8)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4276-4294.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8" w:history="1">
        <w:r w:rsidRPr="007B1A42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https://doi.org/10.1111/1462-2920.15610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>Palaiodimou</w:t>
      </w:r>
      <w:proofErr w:type="spellEnd"/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L. </w:t>
      </w:r>
      <w:r w:rsidRPr="007B1A4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Genomic insights into persistence of </w:t>
      </w:r>
      <w:r w:rsidRPr="007B1A4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Listeria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species in the food processing environment. </w:t>
      </w:r>
      <w:r w:rsidRPr="007B1A42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Journal of Applied Microbiology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7B1A42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131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>(5)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7B1A42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2082-2094.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39" w:history="1">
        <w:r w:rsidRPr="007B1A42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https://doi.org/10.1111/jam.15089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72A16" w:rsidRDefault="00572A1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proofErr w:type="spellStart"/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>Semanjski</w:t>
      </w:r>
      <w:proofErr w:type="spellEnd"/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, M. </w:t>
      </w:r>
      <w:r w:rsidRPr="00572A1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Proteome dynamics during antibiotic persistence and resuscitation. </w:t>
      </w:r>
      <w:proofErr w:type="spellStart"/>
      <w:proofErr w:type="gramStart"/>
      <w:r w:rsidRPr="00572A16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mSystems</w:t>
      </w:r>
      <w:proofErr w:type="spellEnd"/>
      <w:proofErr w:type="gramEnd"/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572A16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6</w:t>
      </w:r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572A16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e00549-21.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40" w:history="1">
        <w:r w:rsidRPr="00572A16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https://journals.asm.org/doi/abs/10.1128/mSystems.00549-21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987E4A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lastRenderedPageBreak/>
        <w:t xml:space="preserve">Wainwright, J. </w:t>
      </w:r>
      <w:r w:rsidRPr="00987E4A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et al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. (2021). </w:t>
      </w:r>
      <w:proofErr w:type="spellStart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cells: formation, resuscitation and combative therapies. </w:t>
      </w:r>
      <w:r w:rsidRPr="00987E4A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Archives of Microbiology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987E4A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203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>(10)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5899-5906.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41" w:history="1">
        <w:r w:rsidRPr="00987E4A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https://doi.org/10.1007/s00203-021-02585-z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987E4A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Wood, T. K. 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&amp;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Song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S. (2020). Forming and waking dormant cells: The </w:t>
      </w:r>
      <w:proofErr w:type="spellStart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>ppGpp</w:t>
      </w:r>
      <w:proofErr w:type="spellEnd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ribosome dimerization </w:t>
      </w:r>
      <w:proofErr w:type="spellStart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>persister</w:t>
      </w:r>
      <w:proofErr w:type="spellEnd"/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model. </w:t>
      </w:r>
      <w:r w:rsidRPr="00987E4A">
        <w:rPr>
          <w:rFonts w:ascii="Times New Roman" w:eastAsia="맑은 고딕" w:hAnsi="Times New Roman" w:cs="Arial"/>
          <w:bCs/>
          <w:i/>
          <w:kern w:val="0"/>
          <w:sz w:val="24"/>
          <w:szCs w:val="24"/>
        </w:rPr>
        <w:t>Biofilm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r w:rsidRPr="00987E4A">
        <w:rPr>
          <w:rFonts w:ascii="Times New Roman" w:eastAsia="맑은 고딕" w:hAnsi="Times New Roman" w:cs="Arial"/>
          <w:b/>
          <w:bCs/>
          <w:kern w:val="0"/>
          <w:sz w:val="24"/>
          <w:szCs w:val="24"/>
        </w:rPr>
        <w:t>2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>,</w:t>
      </w:r>
      <w:r w:rsidRPr="00987E4A"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100018.</w:t>
      </w:r>
      <w:r>
        <w:rPr>
          <w:rFonts w:ascii="Times New Roman" w:eastAsia="맑은 고딕" w:hAnsi="Times New Roman" w:cs="Arial"/>
          <w:bCs/>
          <w:kern w:val="0"/>
          <w:sz w:val="24"/>
          <w:szCs w:val="24"/>
        </w:rPr>
        <w:t xml:space="preserve"> </w:t>
      </w:r>
      <w:hyperlink r:id="rId42" w:history="1">
        <w:r w:rsidRPr="00987E4A">
          <w:rPr>
            <w:rStyle w:val="a8"/>
            <w:rFonts w:ascii="Times New Roman" w:eastAsia="맑은 고딕" w:hAnsi="Times New Roman" w:cs="Arial"/>
            <w:bCs/>
            <w:kern w:val="0"/>
            <w:sz w:val="24"/>
            <w:szCs w:val="24"/>
          </w:rPr>
          <w:t>https://doi.org/10.1016/j.bioflm.2019.100018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Arial"/>
          <w:bCs/>
          <w:kern w:val="0"/>
          <w:sz w:val="24"/>
          <w:szCs w:val="24"/>
        </w:rPr>
      </w:pPr>
    </w:p>
    <w:p w:rsidR="005B3EB6" w:rsidRPr="00C25200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proofErr w:type="spellStart"/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Nanobacteria</w:t>
      </w:r>
      <w:proofErr w:type="spellEnd"/>
    </w:p>
    <w:p w:rsidR="005B3EB6" w:rsidRDefault="002175C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>Schallenberg</w:t>
      </w:r>
      <w:proofErr w:type="spellEnd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L. A. </w:t>
      </w:r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Spatial abundance and distribution of </w:t>
      </w:r>
      <w:proofErr w:type="spellStart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>picocyanobacterial</w:t>
      </w:r>
      <w:proofErr w:type="spellEnd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communities in two contrasting lakes revealed using environmental DNA </w:t>
      </w:r>
      <w:proofErr w:type="spellStart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>metabarcoding</w:t>
      </w:r>
      <w:proofErr w:type="spellEnd"/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175C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175C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97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175C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fiab075.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3" w:history="1">
        <w:r w:rsidRPr="002175C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https://doi.org/10.1093/femsec/fiab075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B3EB6" w:rsidRPr="001139D6" w:rsidRDefault="005B3EB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  <w:lang w:eastAsia="en-US"/>
        </w:rPr>
        <w:t>Programmed cell death</w:t>
      </w:r>
    </w:p>
    <w:p w:rsidR="005B3EB6" w:rsidRDefault="006D5B6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>Alqarzaee</w:t>
      </w:r>
      <w:proofErr w:type="spellEnd"/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A. A. </w:t>
      </w:r>
      <w:r w:rsidRPr="006D5B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Staphylococcal </w:t>
      </w:r>
      <w:proofErr w:type="spellStart"/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>ClpXP</w:t>
      </w:r>
      <w:proofErr w:type="spellEnd"/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protease targets the cellular antioxidant system to eliminate fitness-compromised cells in stationary phase. </w:t>
      </w:r>
      <w:r w:rsidRPr="006D5B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Proceedings of the National Academy of Sciences </w:t>
      </w:r>
      <w:r w:rsidRPr="006D5B62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of </w:t>
      </w:r>
      <w:r w:rsidRPr="006D5B6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USA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D5B6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>(47)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D5B6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e2109671118.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6D5B6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https://www.pnas.org/content/pnas/118/47/e2109671118.full.pdf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34146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Toxin-antitoxin system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</w:t>
      </w:r>
    </w:p>
    <w:p w:rsidR="00C14CAA" w:rsidRDefault="00655C2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>Culviner</w:t>
      </w:r>
      <w:proofErr w:type="spellEnd"/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P. H. </w:t>
      </w:r>
      <w:r w:rsidRPr="00655C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Global analysis of the specificities and targets of endoribonucleases from </w:t>
      </w:r>
      <w:r w:rsidRPr="00655C2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toxin-antitoxin systems. </w:t>
      </w:r>
      <w:proofErr w:type="spellStart"/>
      <w:proofErr w:type="gramStart"/>
      <w:r w:rsidRPr="00655C2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55C2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55C2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e02012-21.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5" w:history="1">
        <w:r w:rsidRPr="00655C2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https://journals.asm.org/doi/abs/10.1128/mBio.02012-21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1C4845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Edelmann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D.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Post-transcriptional deregulation of the </w:t>
      </w:r>
      <w:proofErr w:type="spell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tisB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/istR-1 toxin–antitoxin system promotes SOS-independent </w:t>
      </w:r>
      <w:proofErr w:type="spellStart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persister</w:t>
      </w:r>
      <w:proofErr w:type="spellEnd"/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formation in </w:t>
      </w:r>
      <w:r w:rsidRPr="004B3D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 Reports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B3D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B3D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159-168.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6" w:history="1">
        <w:r w:rsidRPr="004B3D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https://doi.org/10.1111/1758-2229.12919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222EF3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Li, M. </w:t>
      </w:r>
      <w:r w:rsidRPr="00222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>. (2021). Toxin-antitoxin RNA pairs safeguard CRISPR-</w:t>
      </w:r>
      <w:proofErr w:type="spellStart"/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>Cas</w:t>
      </w:r>
      <w:proofErr w:type="spellEnd"/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systems. </w:t>
      </w:r>
      <w:r w:rsidRPr="00222EF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Science</w:t>
      </w:r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2EF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372</w:t>
      </w:r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>(6541)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e</w:t>
      </w:r>
      <w:r w:rsidRPr="00222EF3">
        <w:rPr>
          <w:rFonts w:ascii="Times New Roman" w:eastAsia="맑은 고딕" w:hAnsi="Times New Roman" w:cs="Times New Roman"/>
          <w:kern w:val="0"/>
          <w:sz w:val="24"/>
          <w:szCs w:val="24"/>
        </w:rPr>
        <w:t>abe5601.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7" w:history="1">
        <w:r w:rsidRPr="005B626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https://www.science.org/doi/10.1126/science.abe5601</w:t>
        </w:r>
      </w:hyperlink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C4845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proofErr w:type="spellStart"/>
      <w:r>
        <w:rPr>
          <w:rFonts w:ascii="Times New Roman" w:eastAsia="맑은 고딕" w:hAnsi="Times New Roman" w:cs="Times New Roman"/>
          <w:kern w:val="0"/>
          <w:sz w:val="24"/>
          <w:szCs w:val="24"/>
        </w:rPr>
        <w:t>Mager</w:t>
      </w:r>
      <w:proofErr w:type="spellEnd"/>
      <w:r>
        <w:rPr>
          <w:rFonts w:ascii="Times New Roman" w:eastAsia="맑은 고딕" w:hAnsi="Times New Roman" w:cs="Times New Roman"/>
          <w:kern w:val="0"/>
          <w:sz w:val="24"/>
          <w:szCs w:val="24"/>
        </w:rPr>
        <w:t>, A.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. (2021). Intracellular localization of the proteins encoded by some type II toxin-antitoxin systems in</w:t>
      </w:r>
      <w:r w:rsidRPr="007B1A4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Escherichia coli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proofErr w:type="spellStart"/>
      <w:proofErr w:type="gramStart"/>
      <w:r w:rsidRPr="007B1A4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proofErr w:type="spellEnd"/>
      <w:proofErr w:type="gramEnd"/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B1A4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B1A4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e01417-21.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7B1A4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https://journals.asm.org/doi/abs/10.1128/mBio.01417-21</w:t>
        </w:r>
      </w:hyperlink>
    </w:p>
    <w:p w:rsidR="007B1A42" w:rsidRDefault="007B1A4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67879" w:rsidRPr="00C14CAA" w:rsidRDefault="00C67879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25200" w:rsidRPr="00C25200" w:rsidRDefault="00C25200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Bacterial immune</w:t>
      </w:r>
      <w:r w:rsidRPr="00C2520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 xml:space="preserve"> systems</w:t>
      </w:r>
    </w:p>
    <w:p w:rsidR="005B3EB6" w:rsidRDefault="006D5B6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>Altae</w:t>
      </w:r>
      <w:proofErr w:type="spellEnd"/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-Tran, H. </w:t>
      </w:r>
      <w:r w:rsidRPr="006D5B6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The widespread IS200/IS605 transposon family encodes diverse programmable RNA-guided endonucleases. </w:t>
      </w:r>
      <w:r w:rsidRPr="006D5B6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D5B62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374</w:t>
      </w:r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>(6563)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D5B6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57-65.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6D5B62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https://www.science.org/doi/abs/10.1126/science.abj6856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C4845" w:rsidRDefault="00C04EB8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>Beljouw</w:t>
      </w:r>
      <w:proofErr w:type="spellEnd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S. P. B. v. </w:t>
      </w:r>
      <w:r w:rsidRPr="00C04EB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The </w:t>
      </w:r>
      <w:proofErr w:type="spellStart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>gRAMP</w:t>
      </w:r>
      <w:proofErr w:type="spellEnd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CRISPR-</w:t>
      </w:r>
      <w:proofErr w:type="spellStart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effector is an RNA endonuclease complexed with a caspase-like peptidase. </w:t>
      </w:r>
      <w:r w:rsidRPr="00C04EB8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C04EB8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373</w:t>
      </w:r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>(6561)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</w:t>
      </w:r>
      <w:r w:rsidRPr="00C04EB8">
        <w:rPr>
          <w:rFonts w:ascii="Times New Roman" w:eastAsia="JansonText-Roman" w:hAnsi="Times New Roman" w:cs="Times New Roman"/>
          <w:kern w:val="0"/>
          <w:sz w:val="24"/>
          <w:szCs w:val="24"/>
        </w:rPr>
        <w:t>349-1353.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C04EB8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https://www.science.org/doi/abs/10.1126/science.abk2718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1C4845" w:rsidRDefault="006829F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6829F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Hussain, F. A. </w:t>
      </w:r>
      <w:r w:rsidRPr="006829F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6829F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Rapid evolutionary turnover of mobile genetic elements drives bacterial resistance to phages. </w:t>
      </w:r>
      <w:r w:rsidRPr="006829F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6829F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6829FA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374</w:t>
      </w:r>
      <w:r w:rsidRPr="006829FA">
        <w:rPr>
          <w:rFonts w:ascii="Times New Roman" w:eastAsia="JansonText-Roman" w:hAnsi="Times New Roman" w:cs="Times New Roman"/>
          <w:kern w:val="0"/>
          <w:sz w:val="24"/>
          <w:szCs w:val="24"/>
        </w:rPr>
        <w:t>(6566)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6829F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488-492.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6829FA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https://www.science.org/doi/abs/10.1126/science.abb1083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D076CF" w:rsidRPr="00D076CF" w:rsidRDefault="00D076CF" w:rsidP="00D076C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Li, M. </w:t>
      </w:r>
      <w:r w:rsidRPr="00D076CF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>. (2021). Toxin-antitoxin RNA pairs safeguard CRISPR-</w:t>
      </w:r>
      <w:proofErr w:type="spellStart"/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>Cas</w:t>
      </w:r>
      <w:proofErr w:type="spellEnd"/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systems. </w:t>
      </w:r>
      <w:r w:rsidRPr="00D076CF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Science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076CF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372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(6541), eabe5601. </w:t>
      </w:r>
      <w:hyperlink r:id="rId52" w:history="1">
        <w:r w:rsidRPr="00D076CF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https://www.science.org/doi/10.1126/science.abe5601</w:t>
        </w:r>
      </w:hyperlink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</w:p>
    <w:p w:rsidR="00D076CF" w:rsidRDefault="00D076C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D076CF" w:rsidRDefault="00D076C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Liao, C. 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&amp;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proofErr w:type="spellStart"/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>Beisel</w:t>
      </w:r>
      <w:proofErr w:type="spellEnd"/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C. L. (2021). The </w:t>
      </w:r>
      <w:proofErr w:type="spellStart"/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>tracrRNA</w:t>
      </w:r>
      <w:proofErr w:type="spellEnd"/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in CRISPR biology and technologies. </w:t>
      </w:r>
      <w:r w:rsidRPr="00D076CF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Annual Review of Genetics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D076CF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55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D076CF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161-181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</w:t>
      </w:r>
      <w:hyperlink r:id="rId53" w:history="1">
        <w:r w:rsidRPr="00D076CF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https://www.annualreviews.org/doi/abs/10.1146/annurev-genet-071719-022559</w:t>
        </w:r>
      </w:hyperlink>
    </w:p>
    <w:p w:rsidR="00D076CF" w:rsidRDefault="00D076CF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364E2" w:rsidRDefault="00A364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 w:rsidRPr="00A364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Tal, N. </w:t>
      </w:r>
      <w:r w:rsidRPr="00A364E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</w:t>
      </w:r>
      <w:r w:rsidRPr="00A364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Cyclic CMP and cyclic UMP mediate bacterial immunity against phages. </w:t>
      </w:r>
      <w:r w:rsidRPr="00A364E2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Cell</w:t>
      </w:r>
      <w:r w:rsidRPr="00A364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A364E2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184</w:t>
      </w:r>
      <w:r w:rsidRPr="00A364E2">
        <w:rPr>
          <w:rFonts w:ascii="Times New Roman" w:eastAsia="JansonText-Roman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A364E2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5728-5739.E5716.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A364E2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https://doi.org/10.1016/j.cell.2021.09.031</w:t>
        </w:r>
      </w:hyperlink>
    </w:p>
    <w:p w:rsidR="00A364E2" w:rsidRDefault="00A364E2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A364E2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proofErr w:type="spellStart"/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>Varble</w:t>
      </w:r>
      <w:proofErr w:type="spellEnd"/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, A. </w:t>
      </w:r>
      <w:r w:rsidRPr="00987E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Prophage integration into CRISPR loci enables evasion of antiviral immunity in </w:t>
      </w:r>
      <w:r w:rsidRPr="00987E4A">
        <w:rPr>
          <w:rFonts w:ascii="Times New Roman" w:eastAsia="JansonText-Roman" w:hAnsi="Times New Roman" w:cs="Times New Roman"/>
          <w:i/>
          <w:iCs/>
          <w:kern w:val="0"/>
          <w:sz w:val="24"/>
          <w:szCs w:val="24"/>
        </w:rPr>
        <w:t>Streptococcus pyogenes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.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987E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Nature Microbiology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987E4A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6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1516-1525.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5" w:history="1">
        <w:r w:rsidRPr="00987E4A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https://doi.org/10.1038/s41564-021-00996-8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987E4A" w:rsidRDefault="00987E4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  <w:r>
        <w:rPr>
          <w:rFonts w:ascii="Times New Roman" w:eastAsia="JansonText-Roman" w:hAnsi="Times New Roman" w:cs="Times New Roman"/>
          <w:kern w:val="0"/>
          <w:sz w:val="24"/>
          <w:szCs w:val="24"/>
        </w:rPr>
        <w:t>Zhang, H.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987E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et al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. (2021). Perfecting targeting in CRISPR. </w:t>
      </w:r>
      <w:r w:rsidRPr="00987E4A">
        <w:rPr>
          <w:rFonts w:ascii="Times New Roman" w:eastAsia="JansonText-Roman" w:hAnsi="Times New Roman" w:cs="Times New Roman"/>
          <w:i/>
          <w:kern w:val="0"/>
          <w:sz w:val="24"/>
          <w:szCs w:val="24"/>
        </w:rPr>
        <w:t>Annual Review of Genetics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r w:rsidRPr="00987E4A">
        <w:rPr>
          <w:rFonts w:ascii="Times New Roman" w:eastAsia="JansonText-Roman" w:hAnsi="Times New Roman" w:cs="Times New Roman"/>
          <w:b/>
          <w:bCs/>
          <w:kern w:val="0"/>
          <w:sz w:val="24"/>
          <w:szCs w:val="24"/>
        </w:rPr>
        <w:t>55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>,</w:t>
      </w:r>
      <w:r w:rsidRPr="00987E4A"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453-477.</w:t>
      </w:r>
      <w:r>
        <w:rPr>
          <w:rFonts w:ascii="Times New Roman" w:eastAsia="JansonText-Roman" w:hAnsi="Times New Roman" w:cs="Times New Roman"/>
          <w:kern w:val="0"/>
          <w:sz w:val="24"/>
          <w:szCs w:val="24"/>
        </w:rPr>
        <w:t xml:space="preserve"> </w:t>
      </w:r>
      <w:hyperlink r:id="rId56" w:history="1">
        <w:r w:rsidRPr="00987E4A">
          <w:rPr>
            <w:rStyle w:val="a8"/>
            <w:rFonts w:ascii="Times New Roman" w:eastAsia="JansonText-Roman" w:hAnsi="Times New Roman" w:cs="Times New Roman"/>
            <w:kern w:val="0"/>
            <w:sz w:val="24"/>
            <w:szCs w:val="24"/>
          </w:rPr>
          <w:t>https://www.annualreviews.org/doi/abs/10.1146/annurev-genet-071719-030438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JansonText-Roman" w:hAnsi="Times New Roman" w:cs="Times New Roman"/>
          <w:kern w:val="0"/>
          <w:sz w:val="24"/>
          <w:szCs w:val="24"/>
        </w:rPr>
      </w:pPr>
    </w:p>
    <w:p w:rsidR="00034146" w:rsidRPr="00C25200" w:rsidRDefault="0003414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C25200" w:rsidRPr="00C25200" w:rsidRDefault="00C25200" w:rsidP="001B55E1">
      <w:pPr>
        <w:shd w:val="clear" w:color="auto" w:fill="FFFFFF"/>
        <w:tabs>
          <w:tab w:val="left" w:pos="806"/>
          <w:tab w:val="left" w:pos="1612"/>
          <w:tab w:val="left" w:pos="2420"/>
          <w:tab w:val="left" w:pos="3226"/>
          <w:tab w:val="left" w:pos="4032"/>
          <w:tab w:val="left" w:pos="4838"/>
          <w:tab w:val="left" w:pos="5644"/>
          <w:tab w:val="left" w:pos="6452"/>
          <w:tab w:val="left" w:pos="7258"/>
          <w:tab w:val="left" w:pos="8064"/>
          <w:tab w:val="left" w:pos="8870"/>
          <w:tab w:val="left" w:pos="9676"/>
          <w:tab w:val="left" w:pos="10484"/>
          <w:tab w:val="left" w:pos="11290"/>
          <w:tab w:val="left" w:pos="12096"/>
          <w:tab w:val="left" w:pos="12902"/>
          <w:tab w:val="left" w:pos="13708"/>
          <w:tab w:val="left" w:pos="14516"/>
          <w:tab w:val="left" w:pos="15322"/>
          <w:tab w:val="left" w:pos="16128"/>
          <w:tab w:val="left" w:pos="16934"/>
          <w:tab w:val="left" w:pos="17740"/>
          <w:tab w:val="left" w:pos="18548"/>
          <w:tab w:val="left" w:pos="19354"/>
          <w:tab w:val="left" w:pos="20160"/>
          <w:tab w:val="left" w:pos="20966"/>
          <w:tab w:val="left" w:pos="21772"/>
          <w:tab w:val="left" w:pos="22580"/>
          <w:tab w:val="left" w:pos="23386"/>
          <w:tab w:val="left" w:pos="24192"/>
          <w:tab w:val="left" w:pos="24998"/>
          <w:tab w:val="left" w:pos="25804"/>
        </w:tabs>
        <w:wordWrap/>
        <w:snapToGrid w:val="0"/>
        <w:spacing w:before="100" w:beforeAutospacing="1" w:after="100" w:afterAutospacing="1" w:line="300" w:lineRule="auto"/>
        <w:ind w:left="567" w:hanging="567"/>
        <w:textAlignment w:val="baseline"/>
        <w:rPr>
          <w:rFonts w:ascii="Times New Roman" w:eastAsia="굴림" w:hAnsi="Times New Roman" w:cs="Times New Roman"/>
          <w:b/>
          <w:kern w:val="0"/>
          <w:sz w:val="24"/>
          <w:szCs w:val="24"/>
        </w:rPr>
      </w:pPr>
      <w:r w:rsidRPr="00C25200">
        <w:rPr>
          <w:rFonts w:ascii="Times New Roman" w:eastAsia="한양신명조" w:hAnsi="Times New Roman" w:cs="Times New Roman"/>
          <w:b/>
          <w:spacing w:val="2"/>
          <w:kern w:val="0"/>
          <w:sz w:val="24"/>
          <w:szCs w:val="24"/>
          <w:shd w:val="clear" w:color="auto" w:fill="FFFFFF"/>
        </w:rPr>
        <w:t>Competence</w:t>
      </w:r>
    </w:p>
    <w:p w:rsidR="005B3EB6" w:rsidRDefault="0081762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De </w:t>
      </w:r>
      <w:proofErr w:type="spellStart"/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>Santis</w:t>
      </w:r>
      <w:proofErr w:type="spellEnd"/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, M. </w:t>
      </w:r>
      <w:r w:rsidRPr="00817626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. (2021). </w:t>
      </w:r>
      <w:proofErr w:type="spellStart"/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>ComEB</w:t>
      </w:r>
      <w:proofErr w:type="spellEnd"/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 protein is dispensable for the transformation but must be translated for the optimal synthesis of </w:t>
      </w:r>
      <w:proofErr w:type="spellStart"/>
      <w:r w:rsidRPr="00817626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comEC</w:t>
      </w:r>
      <w:proofErr w:type="spellEnd"/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. </w:t>
      </w:r>
      <w:r w:rsidRPr="00817626">
        <w:rPr>
          <w:rFonts w:ascii="Times New Roman" w:eastAsia="굴림" w:hAnsi="Times New Roman" w:cs="Times New Roman"/>
          <w:i/>
          <w:kern w:val="0"/>
          <w:sz w:val="24"/>
          <w:szCs w:val="24"/>
        </w:rPr>
        <w:t>Molecular Microbiology</w:t>
      </w:r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817626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116</w:t>
      </w:r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817626">
        <w:rPr>
          <w:rFonts w:ascii="Times New Roman" w:eastAsia="굴림" w:hAnsi="Times New Roman" w:cs="Times New Roman"/>
          <w:kern w:val="0"/>
          <w:sz w:val="24"/>
          <w:szCs w:val="24"/>
        </w:rPr>
        <w:t xml:space="preserve"> 71-79.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="004B3DB1" w:rsidRPr="004B3DB1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https://doi.org/10.1111/mmi.14690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1C4845" w:rsidRDefault="004B3DB1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proofErr w:type="spellStart"/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>Dhaked</w:t>
      </w:r>
      <w:proofErr w:type="spellEnd"/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, H. P. S. </w:t>
      </w:r>
      <w:r w:rsidRPr="004B3DB1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. (2021). Redox sensing modulates the activity of the </w:t>
      </w:r>
      <w:proofErr w:type="spellStart"/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>ComE</w:t>
      </w:r>
      <w:proofErr w:type="spellEnd"/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 response regulator of </w:t>
      </w:r>
      <w:r w:rsidRPr="004B3DB1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 xml:space="preserve">Streptococcus </w:t>
      </w:r>
      <w:proofErr w:type="spellStart"/>
      <w:r w:rsidRPr="004B3DB1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mutans</w:t>
      </w:r>
      <w:proofErr w:type="spellEnd"/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. </w:t>
      </w:r>
      <w:r w:rsidRPr="004B3DB1">
        <w:rPr>
          <w:rFonts w:ascii="Times New Roman" w:eastAsia="굴림" w:hAnsi="Times New Roman" w:cs="Times New Roman"/>
          <w:i/>
          <w:kern w:val="0"/>
          <w:sz w:val="24"/>
          <w:szCs w:val="24"/>
        </w:rPr>
        <w:t>Journal of Bacteriology</w:t>
      </w:r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4B3DB1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203</w:t>
      </w:r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4B3DB1">
        <w:rPr>
          <w:rFonts w:ascii="Times New Roman" w:eastAsia="굴림" w:hAnsi="Times New Roman" w:cs="Times New Roman"/>
          <w:kern w:val="0"/>
          <w:sz w:val="24"/>
          <w:szCs w:val="24"/>
        </w:rPr>
        <w:t xml:space="preserve"> e00330-21.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4B3DB1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https://journals.asm.org/doi/abs/10.1128/JB.00330-21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1C4845" w:rsidRDefault="006829FA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 xml:space="preserve">Lam, T. </w:t>
      </w:r>
      <w:r w:rsidRPr="006829FA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 xml:space="preserve">. (2021). Competence pili in </w:t>
      </w:r>
      <w:r w:rsidRPr="006829FA">
        <w:rPr>
          <w:rFonts w:ascii="Times New Roman" w:eastAsia="굴림" w:hAnsi="Times New Roman" w:cs="Times New Roman"/>
          <w:i/>
          <w:iCs/>
          <w:kern w:val="0"/>
          <w:sz w:val="24"/>
          <w:szCs w:val="24"/>
        </w:rPr>
        <w:t>Streptococcus pneumoniae</w:t>
      </w: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 xml:space="preserve"> are highly dynamic structures that retract to promote DNA uptake. </w:t>
      </w:r>
      <w:r w:rsidRPr="006829FA">
        <w:rPr>
          <w:rFonts w:ascii="Times New Roman" w:eastAsia="굴림" w:hAnsi="Times New Roman" w:cs="Times New Roman"/>
          <w:i/>
          <w:kern w:val="0"/>
          <w:sz w:val="24"/>
          <w:szCs w:val="24"/>
        </w:rPr>
        <w:t>Molecular Microbiology</w:t>
      </w: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6829FA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116</w:t>
      </w: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6829FA">
        <w:rPr>
          <w:rFonts w:ascii="Times New Roman" w:eastAsia="굴림" w:hAnsi="Times New Roman" w:cs="Times New Roman"/>
          <w:kern w:val="0"/>
          <w:sz w:val="24"/>
          <w:szCs w:val="24"/>
        </w:rPr>
        <w:t xml:space="preserve"> 381-396.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6829FA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https://doi.org/10.1111/mmi.14718</w:t>
        </w:r>
      </w:hyperlink>
    </w:p>
    <w:p w:rsidR="001C4845" w:rsidRDefault="001C4845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</w:p>
    <w:p w:rsidR="001C4845" w:rsidRDefault="00572A16" w:rsidP="001B55E1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굴림" w:hAnsi="Times New Roman" w:cs="Times New Roman"/>
          <w:kern w:val="0"/>
          <w:sz w:val="24"/>
          <w:szCs w:val="24"/>
        </w:rPr>
      </w:pPr>
      <w:proofErr w:type="spellStart"/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>Silale</w:t>
      </w:r>
      <w:proofErr w:type="spellEnd"/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 xml:space="preserve">, A. </w:t>
      </w:r>
      <w:r w:rsidRPr="00572A16">
        <w:rPr>
          <w:rFonts w:ascii="Times New Roman" w:eastAsia="굴림" w:hAnsi="Times New Roman" w:cs="Times New Roman"/>
          <w:i/>
          <w:kern w:val="0"/>
          <w:sz w:val="24"/>
          <w:szCs w:val="24"/>
        </w:rPr>
        <w:t>et al</w:t>
      </w:r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 xml:space="preserve">. (2021). The DNA transporter </w:t>
      </w:r>
      <w:proofErr w:type="spellStart"/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>ComEC</w:t>
      </w:r>
      <w:proofErr w:type="spellEnd"/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 xml:space="preserve"> has metal-dependent nuclease activity that is important for natural transformation. </w:t>
      </w:r>
      <w:r w:rsidRPr="00572A16">
        <w:rPr>
          <w:rFonts w:ascii="Times New Roman" w:eastAsia="굴림" w:hAnsi="Times New Roman" w:cs="Times New Roman"/>
          <w:i/>
          <w:kern w:val="0"/>
          <w:sz w:val="24"/>
          <w:szCs w:val="24"/>
        </w:rPr>
        <w:t>Molecular Microbiology</w:t>
      </w:r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r w:rsidRPr="00572A16">
        <w:rPr>
          <w:rFonts w:ascii="Times New Roman" w:eastAsia="굴림" w:hAnsi="Times New Roman" w:cs="Times New Roman"/>
          <w:b/>
          <w:bCs/>
          <w:kern w:val="0"/>
          <w:sz w:val="24"/>
          <w:szCs w:val="24"/>
        </w:rPr>
        <w:t>116</w:t>
      </w:r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>(2)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>,</w:t>
      </w:r>
      <w:r w:rsidRPr="00572A16">
        <w:rPr>
          <w:rFonts w:ascii="Times New Roman" w:eastAsia="굴림" w:hAnsi="Times New Roman" w:cs="Times New Roman"/>
          <w:kern w:val="0"/>
          <w:sz w:val="24"/>
          <w:szCs w:val="24"/>
        </w:rPr>
        <w:t xml:space="preserve"> 416-426.</w:t>
      </w:r>
      <w:r>
        <w:rPr>
          <w:rFonts w:ascii="Times New Roman" w:eastAsia="굴림" w:hAnsi="Times New Roman" w:cs="Times New Roman"/>
          <w:kern w:val="0"/>
          <w:sz w:val="24"/>
          <w:szCs w:val="24"/>
        </w:rPr>
        <w:t xml:space="preserve"> </w:t>
      </w:r>
      <w:hyperlink r:id="rId60" w:history="1">
        <w:r w:rsidRPr="00572A16">
          <w:rPr>
            <w:rStyle w:val="a8"/>
            <w:rFonts w:ascii="Times New Roman" w:eastAsia="굴림" w:hAnsi="Times New Roman" w:cs="Times New Roman"/>
            <w:kern w:val="0"/>
            <w:sz w:val="24"/>
            <w:szCs w:val="24"/>
          </w:rPr>
          <w:t>https://doi.org/10.1111/mmi.14720</w:t>
        </w:r>
      </w:hyperlink>
    </w:p>
    <w:sectPr w:rsidR="001C4845">
      <w:footerReference w:type="default" r:id="rId6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859" w:rsidRDefault="00110859">
      <w:pPr>
        <w:spacing w:after="0" w:line="240" w:lineRule="auto"/>
      </w:pPr>
      <w:r>
        <w:separator/>
      </w:r>
    </w:p>
  </w:endnote>
  <w:endnote w:type="continuationSeparator" w:id="0">
    <w:p w:rsidR="00110859" w:rsidRDefault="0011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JansonText-Roman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182597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A16" w:rsidRDefault="00572A1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390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572A16" w:rsidRDefault="00572A1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859" w:rsidRDefault="00110859">
      <w:pPr>
        <w:spacing w:after="0" w:line="240" w:lineRule="auto"/>
      </w:pPr>
      <w:r>
        <w:separator/>
      </w:r>
    </w:p>
  </w:footnote>
  <w:footnote w:type="continuationSeparator" w:id="0">
    <w:p w:rsidR="00110859" w:rsidRDefault="00110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200"/>
    <w:rsid w:val="00030EEC"/>
    <w:rsid w:val="00034146"/>
    <w:rsid w:val="000456E2"/>
    <w:rsid w:val="001031E1"/>
    <w:rsid w:val="00110859"/>
    <w:rsid w:val="001139D6"/>
    <w:rsid w:val="001B55E1"/>
    <w:rsid w:val="001C4845"/>
    <w:rsid w:val="002115C3"/>
    <w:rsid w:val="00213D7B"/>
    <w:rsid w:val="002175C8"/>
    <w:rsid w:val="00222EF3"/>
    <w:rsid w:val="002A6E38"/>
    <w:rsid w:val="002E33B6"/>
    <w:rsid w:val="00395686"/>
    <w:rsid w:val="00401C2C"/>
    <w:rsid w:val="00415114"/>
    <w:rsid w:val="00420CF0"/>
    <w:rsid w:val="004A33A0"/>
    <w:rsid w:val="004B3DB1"/>
    <w:rsid w:val="004B3F27"/>
    <w:rsid w:val="004D37C9"/>
    <w:rsid w:val="00507996"/>
    <w:rsid w:val="005605DD"/>
    <w:rsid w:val="00565E49"/>
    <w:rsid w:val="00572A16"/>
    <w:rsid w:val="00576662"/>
    <w:rsid w:val="005B3EB6"/>
    <w:rsid w:val="005B70BE"/>
    <w:rsid w:val="005B7DD6"/>
    <w:rsid w:val="005E79B6"/>
    <w:rsid w:val="006049AE"/>
    <w:rsid w:val="00642742"/>
    <w:rsid w:val="006476EB"/>
    <w:rsid w:val="00655C2F"/>
    <w:rsid w:val="00657458"/>
    <w:rsid w:val="006829FA"/>
    <w:rsid w:val="006D5B62"/>
    <w:rsid w:val="006E5FDC"/>
    <w:rsid w:val="00705A52"/>
    <w:rsid w:val="00785147"/>
    <w:rsid w:val="007B1A42"/>
    <w:rsid w:val="00813D5E"/>
    <w:rsid w:val="00817626"/>
    <w:rsid w:val="00845F2C"/>
    <w:rsid w:val="008C5BFE"/>
    <w:rsid w:val="008E091C"/>
    <w:rsid w:val="008F73C4"/>
    <w:rsid w:val="00911746"/>
    <w:rsid w:val="0095390C"/>
    <w:rsid w:val="00987E4A"/>
    <w:rsid w:val="00990151"/>
    <w:rsid w:val="00A2719D"/>
    <w:rsid w:val="00A35736"/>
    <w:rsid w:val="00A3580B"/>
    <w:rsid w:val="00A364E2"/>
    <w:rsid w:val="00A70AEF"/>
    <w:rsid w:val="00A81FC0"/>
    <w:rsid w:val="00A92705"/>
    <w:rsid w:val="00AA7F29"/>
    <w:rsid w:val="00B84662"/>
    <w:rsid w:val="00BA01A6"/>
    <w:rsid w:val="00C04EB8"/>
    <w:rsid w:val="00C14CAA"/>
    <w:rsid w:val="00C25200"/>
    <w:rsid w:val="00C56330"/>
    <w:rsid w:val="00C67879"/>
    <w:rsid w:val="00CD19CB"/>
    <w:rsid w:val="00CD7230"/>
    <w:rsid w:val="00D0372F"/>
    <w:rsid w:val="00D04EB5"/>
    <w:rsid w:val="00D076CF"/>
    <w:rsid w:val="00D14CB7"/>
    <w:rsid w:val="00D20714"/>
    <w:rsid w:val="00D30CB7"/>
    <w:rsid w:val="00DE0190"/>
    <w:rsid w:val="00DE463B"/>
    <w:rsid w:val="00F30884"/>
    <w:rsid w:val="00F447CC"/>
    <w:rsid w:val="00F5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50FB94-F2A4-4D44-9313-5233D6AC0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C2520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C2520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C2520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C2520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C2520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C2520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C2520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C2520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C2520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C2520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C2520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C2520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C25200"/>
  </w:style>
  <w:style w:type="paragraph" w:customStyle="1" w:styleId="Style7">
    <w:name w:val="Style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C2520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C25200"/>
  </w:style>
  <w:style w:type="paragraph" w:customStyle="1" w:styleId="Author">
    <w:name w:val="Author"/>
    <w:basedOn w:val="a0"/>
    <w:rsid w:val="00C25200"/>
    <w:rPr>
      <w:sz w:val="26"/>
    </w:rPr>
  </w:style>
  <w:style w:type="paragraph" w:customStyle="1" w:styleId="Editor">
    <w:name w:val="Editor"/>
    <w:basedOn w:val="a0"/>
    <w:rsid w:val="00C25200"/>
    <w:rPr>
      <w:sz w:val="26"/>
    </w:rPr>
  </w:style>
  <w:style w:type="paragraph" w:customStyle="1" w:styleId="Edition">
    <w:name w:val="Edition"/>
    <w:basedOn w:val="a0"/>
    <w:rsid w:val="00C25200"/>
  </w:style>
  <w:style w:type="paragraph" w:customStyle="1" w:styleId="Dedication">
    <w:name w:val="Dedication"/>
    <w:basedOn w:val="a0"/>
    <w:rsid w:val="00C25200"/>
  </w:style>
  <w:style w:type="paragraph" w:customStyle="1" w:styleId="Half-title">
    <w:name w:val="Half-title"/>
    <w:basedOn w:val="a0"/>
    <w:rsid w:val="00C25200"/>
  </w:style>
  <w:style w:type="paragraph" w:customStyle="1" w:styleId="Copyright">
    <w:name w:val="Copyright"/>
    <w:basedOn w:val="a0"/>
    <w:rsid w:val="00C25200"/>
  </w:style>
  <w:style w:type="paragraph" w:customStyle="1" w:styleId="LOC">
    <w:name w:val="LOC"/>
    <w:basedOn w:val="a0"/>
    <w:rsid w:val="00C25200"/>
  </w:style>
  <w:style w:type="paragraph" w:customStyle="1" w:styleId="Publisher">
    <w:name w:val="Publisher"/>
    <w:basedOn w:val="a0"/>
    <w:rsid w:val="00C25200"/>
  </w:style>
  <w:style w:type="paragraph" w:styleId="a4">
    <w:name w:val="Subtitle"/>
    <w:basedOn w:val="a0"/>
    <w:link w:val="Char0"/>
    <w:qFormat/>
    <w:rsid w:val="00C2520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C2520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C25200"/>
  </w:style>
  <w:style w:type="paragraph" w:customStyle="1" w:styleId="TOCChapter">
    <w:name w:val="TOCChapter"/>
    <w:basedOn w:val="a0"/>
    <w:rsid w:val="00C25200"/>
  </w:style>
  <w:style w:type="paragraph" w:customStyle="1" w:styleId="TOCpagenumber">
    <w:name w:val="TOCpagenumber"/>
    <w:basedOn w:val="a0"/>
    <w:rsid w:val="00C25200"/>
  </w:style>
  <w:style w:type="paragraph" w:customStyle="1" w:styleId="TOCsubchapter">
    <w:name w:val="TOCsubchapter"/>
    <w:basedOn w:val="a0"/>
    <w:rsid w:val="00C25200"/>
  </w:style>
  <w:style w:type="paragraph" w:customStyle="1" w:styleId="TOCsubsubchapter">
    <w:name w:val="TOCsubsubchapter"/>
    <w:basedOn w:val="a0"/>
    <w:rsid w:val="00C25200"/>
  </w:style>
  <w:style w:type="paragraph" w:customStyle="1" w:styleId="TOCsubsubsubchapter">
    <w:name w:val="TOCsubsubsubchapter"/>
    <w:basedOn w:val="a0"/>
    <w:rsid w:val="00C25200"/>
  </w:style>
  <w:style w:type="paragraph" w:styleId="a5">
    <w:name w:val="caption"/>
    <w:basedOn w:val="a0"/>
    <w:qFormat/>
    <w:rsid w:val="00C25200"/>
    <w:rPr>
      <w:bCs/>
      <w:szCs w:val="20"/>
    </w:rPr>
  </w:style>
  <w:style w:type="paragraph" w:customStyle="1" w:styleId="Blockquote">
    <w:name w:val="Blockquote"/>
    <w:basedOn w:val="a0"/>
    <w:rsid w:val="00C25200"/>
    <w:pPr>
      <w:ind w:left="432" w:right="432"/>
    </w:pPr>
  </w:style>
  <w:style w:type="paragraph" w:customStyle="1" w:styleId="Extract">
    <w:name w:val="Extract"/>
    <w:basedOn w:val="a0"/>
    <w:rsid w:val="00C25200"/>
    <w:pPr>
      <w:ind w:left="432" w:right="432"/>
    </w:pPr>
  </w:style>
  <w:style w:type="paragraph" w:customStyle="1" w:styleId="Indentblock">
    <w:name w:val="Indentblock"/>
    <w:basedOn w:val="a0"/>
    <w:rsid w:val="00C25200"/>
    <w:pPr>
      <w:ind w:left="432"/>
    </w:pPr>
  </w:style>
  <w:style w:type="paragraph" w:customStyle="1" w:styleId="Indenthanginga">
    <w:name w:val="Indenthanginga"/>
    <w:basedOn w:val="a0"/>
    <w:rsid w:val="00C25200"/>
    <w:pPr>
      <w:ind w:left="432" w:hanging="432"/>
    </w:pPr>
  </w:style>
  <w:style w:type="paragraph" w:customStyle="1" w:styleId="Indenthanging1">
    <w:name w:val="Indenthanging1"/>
    <w:basedOn w:val="a0"/>
    <w:rsid w:val="00C25200"/>
    <w:pPr>
      <w:ind w:left="190" w:hanging="190"/>
    </w:pPr>
  </w:style>
  <w:style w:type="paragraph" w:customStyle="1" w:styleId="Indenthangingb">
    <w:name w:val="Indenthangingb"/>
    <w:basedOn w:val="a0"/>
    <w:rsid w:val="00C25200"/>
    <w:pPr>
      <w:ind w:left="432" w:hanging="432"/>
    </w:pPr>
  </w:style>
  <w:style w:type="paragraph" w:customStyle="1" w:styleId="Table">
    <w:name w:val="Table"/>
    <w:basedOn w:val="a0"/>
    <w:rsid w:val="00C2520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C25200"/>
  </w:style>
  <w:style w:type="paragraph" w:customStyle="1" w:styleId="Note">
    <w:name w:val="Note"/>
    <w:basedOn w:val="Table"/>
    <w:rsid w:val="00C25200"/>
  </w:style>
  <w:style w:type="paragraph" w:customStyle="1" w:styleId="Sidebar">
    <w:name w:val="Sidebar"/>
    <w:basedOn w:val="Table"/>
    <w:rsid w:val="00C25200"/>
  </w:style>
  <w:style w:type="paragraph" w:customStyle="1" w:styleId="Indexmain">
    <w:name w:val="Indexmain"/>
    <w:basedOn w:val="a0"/>
    <w:rsid w:val="00C2520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C2520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C2520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C2520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C25200"/>
    <w:rPr>
      <w:rFonts w:ascii="Times New Roman" w:hAnsi="Times New Roman"/>
      <w:b/>
    </w:rPr>
  </w:style>
  <w:style w:type="character" w:customStyle="1" w:styleId="eIta">
    <w:name w:val="eIta"/>
    <w:rsid w:val="00C25200"/>
    <w:rPr>
      <w:rFonts w:ascii="Times New Roman" w:hAnsi="Times New Roman"/>
      <w:i/>
    </w:rPr>
  </w:style>
  <w:style w:type="character" w:customStyle="1" w:styleId="eBolIta">
    <w:name w:val="eBolIta"/>
    <w:rsid w:val="00C2520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C2520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C2520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C2520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C2520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C2520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C2520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C2520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C2520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C25200"/>
  </w:style>
  <w:style w:type="paragraph" w:customStyle="1" w:styleId="NlTable-H">
    <w:name w:val="NlTable-H"/>
    <w:basedOn w:val="Table-H"/>
    <w:rsid w:val="00C25200"/>
  </w:style>
  <w:style w:type="paragraph" w:customStyle="1" w:styleId="Note-H">
    <w:name w:val="Note-H"/>
    <w:basedOn w:val="Table-H"/>
    <w:rsid w:val="00C25200"/>
  </w:style>
  <w:style w:type="paragraph" w:customStyle="1" w:styleId="Sidebar-H">
    <w:name w:val="Sidebar-H"/>
    <w:basedOn w:val="Table-H"/>
    <w:rsid w:val="00C25200"/>
  </w:style>
  <w:style w:type="paragraph" w:customStyle="1" w:styleId="Poem">
    <w:name w:val="Poem"/>
    <w:basedOn w:val="Extract"/>
    <w:qFormat/>
    <w:rsid w:val="00C2520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C25200"/>
    <w:pPr>
      <w:ind w:left="864"/>
    </w:pPr>
  </w:style>
  <w:style w:type="paragraph" w:customStyle="1" w:styleId="indent1">
    <w:name w:val="indent1"/>
    <w:basedOn w:val="a"/>
    <w:next w:val="a0"/>
    <w:qFormat/>
    <w:rsid w:val="00C2520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C2520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C25200"/>
    <w:rPr>
      <w:color w:val="0000FF"/>
      <w:u w:val="single"/>
    </w:rPr>
  </w:style>
  <w:style w:type="character" w:styleId="a9">
    <w:name w:val="FollowedHyperlink"/>
    <w:uiPriority w:val="99"/>
    <w:rsid w:val="00C2520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C2520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C25200"/>
  </w:style>
  <w:style w:type="character" w:customStyle="1" w:styleId="Char">
    <w:name w:val="일반 (웹) Char"/>
    <w:aliases w:val="표준 (웹) Char"/>
    <w:link w:val="a0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C2520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C2520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C2520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C2520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C2520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C2520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C2520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C2520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C25200"/>
  </w:style>
  <w:style w:type="character" w:customStyle="1" w:styleId="maintextleft1">
    <w:name w:val="maintextleft1"/>
    <w:rsid w:val="00C2520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C25200"/>
    <w:rPr>
      <w:i/>
      <w:iCs/>
    </w:rPr>
  </w:style>
  <w:style w:type="character" w:styleId="af">
    <w:name w:val="page number"/>
    <w:basedOn w:val="a1"/>
    <w:rsid w:val="00C25200"/>
  </w:style>
  <w:style w:type="paragraph" w:styleId="af0">
    <w:name w:val="Revision"/>
    <w:hidden/>
    <w:uiPriority w:val="99"/>
    <w:semiHidden/>
    <w:rsid w:val="00C2520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C2520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C2520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C2520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C2520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C2520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C25200"/>
  </w:style>
  <w:style w:type="paragraph" w:customStyle="1" w:styleId="MTDisplayEquation">
    <w:name w:val="MTDisplayEquation"/>
    <w:basedOn w:val="a0"/>
    <w:next w:val="a"/>
    <w:link w:val="MTDisplayEquationChar"/>
    <w:rsid w:val="00C2520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C2520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C2520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C25200"/>
    <w:rPr>
      <w:color w:val="808080"/>
    </w:rPr>
  </w:style>
  <w:style w:type="paragraph" w:customStyle="1" w:styleId="TableRight">
    <w:name w:val="Table +  Right"/>
    <w:basedOn w:val="Table"/>
    <w:rsid w:val="00C2520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C2520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C2520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C25200"/>
  </w:style>
  <w:style w:type="numbering" w:customStyle="1" w:styleId="NoList3">
    <w:name w:val="No List3"/>
    <w:next w:val="a3"/>
    <w:uiPriority w:val="99"/>
    <w:semiHidden/>
    <w:unhideWhenUsed/>
    <w:rsid w:val="00C25200"/>
  </w:style>
  <w:style w:type="character" w:customStyle="1" w:styleId="apple-converted-space">
    <w:name w:val="apple-converted-space"/>
    <w:basedOn w:val="a1"/>
    <w:rsid w:val="00C25200"/>
  </w:style>
  <w:style w:type="character" w:customStyle="1" w:styleId="mw-cite-backlink">
    <w:name w:val="mw-cite-backlink"/>
    <w:basedOn w:val="a1"/>
    <w:rsid w:val="00C25200"/>
  </w:style>
  <w:style w:type="character" w:customStyle="1" w:styleId="cite-accessibility-label">
    <w:name w:val="cite-accessibility-label"/>
    <w:basedOn w:val="a1"/>
    <w:rsid w:val="00C25200"/>
  </w:style>
  <w:style w:type="paragraph" w:customStyle="1" w:styleId="Default">
    <w:name w:val="Default"/>
    <w:rsid w:val="00C2520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C2520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C2520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C2520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C2520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C2520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C25200"/>
  </w:style>
  <w:style w:type="character" w:customStyle="1" w:styleId="article-headercorresponding-auth">
    <w:name w:val="article-header__corresponding-auth"/>
    <w:basedOn w:val="a1"/>
    <w:rsid w:val="00C25200"/>
  </w:style>
  <w:style w:type="character" w:customStyle="1" w:styleId="collapsetext1">
    <w:name w:val="collapsetext1"/>
    <w:rsid w:val="00C2520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C2520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C25200"/>
    <w:rPr>
      <w:i/>
      <w:iCs/>
    </w:rPr>
  </w:style>
  <w:style w:type="character" w:customStyle="1" w:styleId="slug-elocation">
    <w:name w:val="slug-elocation"/>
    <w:basedOn w:val="a1"/>
    <w:rsid w:val="00C25200"/>
  </w:style>
  <w:style w:type="character" w:customStyle="1" w:styleId="st1">
    <w:name w:val="st1"/>
    <w:basedOn w:val="a1"/>
    <w:rsid w:val="00C25200"/>
  </w:style>
  <w:style w:type="character" w:customStyle="1" w:styleId="current-selection">
    <w:name w:val="current-selection"/>
    <w:basedOn w:val="a1"/>
    <w:rsid w:val="00C25200"/>
  </w:style>
  <w:style w:type="character" w:customStyle="1" w:styleId="af8">
    <w:name w:val="_"/>
    <w:basedOn w:val="a1"/>
    <w:rsid w:val="00C25200"/>
  </w:style>
  <w:style w:type="character" w:customStyle="1" w:styleId="enhanced-reference">
    <w:name w:val="enhanced-reference"/>
    <w:basedOn w:val="a1"/>
    <w:rsid w:val="00C25200"/>
  </w:style>
  <w:style w:type="character" w:customStyle="1" w:styleId="ff5">
    <w:name w:val="ff5"/>
    <w:basedOn w:val="a1"/>
    <w:rsid w:val="00C25200"/>
  </w:style>
  <w:style w:type="character" w:customStyle="1" w:styleId="named-content">
    <w:name w:val="named-content"/>
    <w:basedOn w:val="a1"/>
    <w:rsid w:val="00C25200"/>
  </w:style>
  <w:style w:type="character" w:customStyle="1" w:styleId="A40">
    <w:name w:val="A4"/>
    <w:uiPriority w:val="99"/>
    <w:rsid w:val="00C2520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C25200"/>
    <w:rPr>
      <w:i/>
      <w:iCs/>
    </w:rPr>
  </w:style>
  <w:style w:type="character" w:styleId="af9">
    <w:name w:val="Strong"/>
    <w:uiPriority w:val="22"/>
    <w:qFormat/>
    <w:rsid w:val="00C25200"/>
    <w:rPr>
      <w:b/>
      <w:bCs/>
    </w:rPr>
  </w:style>
  <w:style w:type="character" w:customStyle="1" w:styleId="cit-auth">
    <w:name w:val="cit-auth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C2520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C2520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C2520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C2520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C25200"/>
  </w:style>
  <w:style w:type="character" w:customStyle="1" w:styleId="js-revealercontrol-toggle">
    <w:name w:val="js-revealer__control-toggle"/>
    <w:basedOn w:val="a1"/>
    <w:rsid w:val="00C25200"/>
  </w:style>
  <w:style w:type="character" w:customStyle="1" w:styleId="equiv">
    <w:name w:val="equiv"/>
    <w:basedOn w:val="a1"/>
    <w:rsid w:val="00C25200"/>
  </w:style>
  <w:style w:type="character" w:customStyle="1" w:styleId="article-headermeta-info-label">
    <w:name w:val="article-header__meta-info-label"/>
    <w:basedOn w:val="a1"/>
    <w:rsid w:val="00C25200"/>
  </w:style>
  <w:style w:type="character" w:customStyle="1" w:styleId="cit-issue">
    <w:name w:val="cit-issue"/>
    <w:basedOn w:val="a1"/>
    <w:rsid w:val="00C25200"/>
  </w:style>
  <w:style w:type="character" w:customStyle="1" w:styleId="cit-first-page">
    <w:name w:val="cit-first-page"/>
    <w:basedOn w:val="a1"/>
    <w:rsid w:val="00C25200"/>
  </w:style>
  <w:style w:type="paragraph" w:customStyle="1" w:styleId="hstyle0">
    <w:name w:val="hstyle0"/>
    <w:basedOn w:val="a"/>
    <w:rsid w:val="00C2520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C25200"/>
  </w:style>
  <w:style w:type="character" w:customStyle="1" w:styleId="jp-sup1">
    <w:name w:val="jp-sup1"/>
    <w:rsid w:val="00C2520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C25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5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1016/bs.ampbs.2020.09.001" TargetMode="External"/><Relationship Id="rId18" Type="http://schemas.openxmlformats.org/officeDocument/2006/relationships/hyperlink" Target="https://doi.org/10.1002/jobm.202100184" TargetMode="External"/><Relationship Id="rId26" Type="http://schemas.openxmlformats.org/officeDocument/2006/relationships/hyperlink" Target="https://doi.org/10.1128/msphere.00919-21" TargetMode="External"/><Relationship Id="rId39" Type="http://schemas.openxmlformats.org/officeDocument/2006/relationships/hyperlink" Target="https://doi.org/10.1111/jam.15089" TargetMode="External"/><Relationship Id="rId21" Type="http://schemas.openxmlformats.org/officeDocument/2006/relationships/hyperlink" Target="https://doi.org/10.1016/j.tibtech.2020.11.010" TargetMode="External"/><Relationship Id="rId34" Type="http://schemas.openxmlformats.org/officeDocument/2006/relationships/hyperlink" Target="https://doi.org/10.1016/j.micres.2021.126900" TargetMode="External"/><Relationship Id="rId42" Type="http://schemas.openxmlformats.org/officeDocument/2006/relationships/hyperlink" Target="https://doi.org/10.1016/j.bioflm.2019.100018" TargetMode="External"/><Relationship Id="rId47" Type="http://schemas.openxmlformats.org/officeDocument/2006/relationships/hyperlink" Target="https://www.science.org/doi/10.1126/science.abe5601" TargetMode="External"/><Relationship Id="rId50" Type="http://schemas.openxmlformats.org/officeDocument/2006/relationships/hyperlink" Target="https://www.science.org/doi/abs/10.1126/science.abk2718" TargetMode="External"/><Relationship Id="rId55" Type="http://schemas.openxmlformats.org/officeDocument/2006/relationships/hyperlink" Target="https://doi.org/10.1038/s41564-021-00996-8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doi.org/10.1016/bs.ampbs.2021.07.0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journals.asm.org/doi/abs/10.1128/AEM.00929-21" TargetMode="External"/><Relationship Id="rId20" Type="http://schemas.openxmlformats.org/officeDocument/2006/relationships/hyperlink" Target="https://doi.org/10.1016/j.biortech.2021.125381" TargetMode="External"/><Relationship Id="rId29" Type="http://schemas.openxmlformats.org/officeDocument/2006/relationships/hyperlink" Target="https://journals.asm.org/doi/abs/10.1128/Spectrum.01377-21" TargetMode="External"/><Relationship Id="rId41" Type="http://schemas.openxmlformats.org/officeDocument/2006/relationships/hyperlink" Target="https://doi.org/10.1007/s00203-021-02585-z" TargetMode="External"/><Relationship Id="rId54" Type="http://schemas.openxmlformats.org/officeDocument/2006/relationships/hyperlink" Target="https://doi.org/10.1016/j.cell.2021.09.031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11/mmi.14762" TargetMode="External"/><Relationship Id="rId24" Type="http://schemas.openxmlformats.org/officeDocument/2006/relationships/hyperlink" Target="https://doi.org/10.1038/s41396-021-01029-2" TargetMode="External"/><Relationship Id="rId32" Type="http://schemas.openxmlformats.org/officeDocument/2006/relationships/hyperlink" Target="https://www.frontiersin.org/article/10.3389/fmicb.2021.685263" TargetMode="External"/><Relationship Id="rId37" Type="http://schemas.openxmlformats.org/officeDocument/2006/relationships/hyperlink" Target="https://doi.org/10.1111/1758-2229.12919" TargetMode="External"/><Relationship Id="rId40" Type="http://schemas.openxmlformats.org/officeDocument/2006/relationships/hyperlink" Target="https://journals.asm.org/doi/abs/10.1128/mSystems.00549-21" TargetMode="External"/><Relationship Id="rId45" Type="http://schemas.openxmlformats.org/officeDocument/2006/relationships/hyperlink" Target="https://journals.asm.org/doi/abs/10.1128/mBio.02012-21" TargetMode="External"/><Relationship Id="rId53" Type="http://schemas.openxmlformats.org/officeDocument/2006/relationships/hyperlink" Target="https://www.annualreviews.org/doi/abs/10.1146/annurev-genet-071719-022559" TargetMode="External"/><Relationship Id="rId58" Type="http://schemas.openxmlformats.org/officeDocument/2006/relationships/hyperlink" Target="https://journals.asm.org/doi/abs/10.1128/JB.00330-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86/s13213-021-01632-w" TargetMode="External"/><Relationship Id="rId23" Type="http://schemas.openxmlformats.org/officeDocument/2006/relationships/hyperlink" Target="https://doi.org/10.1016/j.tim.2021.02.002" TargetMode="External"/><Relationship Id="rId28" Type="http://schemas.openxmlformats.org/officeDocument/2006/relationships/hyperlink" Target="https://doi.org/10.1111/1462-2920.15415" TargetMode="External"/><Relationship Id="rId36" Type="http://schemas.openxmlformats.org/officeDocument/2006/relationships/hyperlink" Target="https://journals.asm.org/doi/abs/10.1128/mBio.00703-21" TargetMode="External"/><Relationship Id="rId49" Type="http://schemas.openxmlformats.org/officeDocument/2006/relationships/hyperlink" Target="https://www.science.org/doi/abs/10.1126/science.abj6856" TargetMode="External"/><Relationship Id="rId57" Type="http://schemas.openxmlformats.org/officeDocument/2006/relationships/hyperlink" Target="https://doi.org/10.1111/mmi.14690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doi.org/10.15252/msb.202110504" TargetMode="External"/><Relationship Id="rId19" Type="http://schemas.openxmlformats.org/officeDocument/2006/relationships/hyperlink" Target="https://doi.org/10.1016/j.biortech.2021.125472" TargetMode="External"/><Relationship Id="rId31" Type="http://schemas.openxmlformats.org/officeDocument/2006/relationships/hyperlink" Target="https://doi.org/10.1002/jobm.202100133" TargetMode="External"/><Relationship Id="rId44" Type="http://schemas.openxmlformats.org/officeDocument/2006/relationships/hyperlink" Target="https://www.pnas.org/content/pnas/118/47/e2109671118.full.pdf" TargetMode="External"/><Relationship Id="rId52" Type="http://schemas.openxmlformats.org/officeDocument/2006/relationships/hyperlink" Target="https://www.science.org/doi/10.1126/science.abe5601" TargetMode="External"/><Relationship Id="rId60" Type="http://schemas.openxmlformats.org/officeDocument/2006/relationships/hyperlink" Target="https://doi.org/10.1111/mmi.147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5252/msb.202110597" TargetMode="External"/><Relationship Id="rId14" Type="http://schemas.openxmlformats.org/officeDocument/2006/relationships/hyperlink" Target="https://www.pnas.org/content/pnas/118/33/e2101691118.full.pdf" TargetMode="External"/><Relationship Id="rId22" Type="http://schemas.openxmlformats.org/officeDocument/2006/relationships/hyperlink" Target="https://doi.org/10.1016/j.biortech.2021.125419" TargetMode="External"/><Relationship Id="rId27" Type="http://schemas.openxmlformats.org/officeDocument/2006/relationships/hyperlink" Target="https://doi.org/10.1080/01490451.2020.1842944" TargetMode="External"/><Relationship Id="rId30" Type="http://schemas.openxmlformats.org/officeDocument/2006/relationships/hyperlink" Target="https://journals.asm.org/doi/abs/10.1128/mBio.00703-21" TargetMode="External"/><Relationship Id="rId35" Type="http://schemas.openxmlformats.org/officeDocument/2006/relationships/hyperlink" Target="https://doi.org/10.1038/s41564-021-00938-4" TargetMode="External"/><Relationship Id="rId43" Type="http://schemas.openxmlformats.org/officeDocument/2006/relationships/hyperlink" Target="https://doi.org/10.1093/femsec/fiab075" TargetMode="External"/><Relationship Id="rId48" Type="http://schemas.openxmlformats.org/officeDocument/2006/relationships/hyperlink" Target="https://journals.asm.org/doi/abs/10.1128/mBio.01417-21" TargetMode="External"/><Relationship Id="rId56" Type="http://schemas.openxmlformats.org/officeDocument/2006/relationships/hyperlink" Target="https://www.annualreviews.org/doi/abs/10.1146/annurev-genet-071719-030438" TargetMode="External"/><Relationship Id="rId8" Type="http://schemas.openxmlformats.org/officeDocument/2006/relationships/hyperlink" Target="https://doi.org/10.1038/s41579-021-00540-9" TargetMode="External"/><Relationship Id="rId51" Type="http://schemas.openxmlformats.org/officeDocument/2006/relationships/hyperlink" Target="https://www.science.org/doi/abs/10.1126/science.abb108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journals.asm.org/doi/abs/10.1128/spectrum.01384-21" TargetMode="External"/><Relationship Id="rId17" Type="http://schemas.openxmlformats.org/officeDocument/2006/relationships/hyperlink" Target="https://doi.org/10.1111/1751-7915.13915" TargetMode="External"/><Relationship Id="rId25" Type="http://schemas.openxmlformats.org/officeDocument/2006/relationships/hyperlink" Target="https://www.frontiersin.org/article/10.3389/fmicb.2021.759359" TargetMode="External"/><Relationship Id="rId33" Type="http://schemas.openxmlformats.org/officeDocument/2006/relationships/hyperlink" Target="https://doi.org/10.1111/1462-2920.15463" TargetMode="External"/><Relationship Id="rId38" Type="http://schemas.openxmlformats.org/officeDocument/2006/relationships/hyperlink" Target="https://doi.org/10.1111/1462-2920.15610" TargetMode="External"/><Relationship Id="rId46" Type="http://schemas.openxmlformats.org/officeDocument/2006/relationships/hyperlink" Target="https://doi.org/10.1111/1758-2229.12919" TargetMode="External"/><Relationship Id="rId59" Type="http://schemas.openxmlformats.org/officeDocument/2006/relationships/hyperlink" Target="https://doi.org/10.1111/mmi.14718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10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15526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26</cp:revision>
  <dcterms:created xsi:type="dcterms:W3CDTF">2020-01-07T02:22:00Z</dcterms:created>
  <dcterms:modified xsi:type="dcterms:W3CDTF">2022-01-13T13:22:00Z</dcterms:modified>
</cp:coreProperties>
</file>