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D0C" w:rsidRPr="005F2373" w:rsidRDefault="003A3D0C" w:rsidP="003A3D0C">
      <w:pPr>
        <w:tabs>
          <w:tab w:val="left" w:pos="2376"/>
          <w:tab w:val="left" w:pos="4077"/>
          <w:tab w:val="left" w:pos="5920"/>
          <w:tab w:val="left" w:pos="8046"/>
          <w:tab w:val="left" w:pos="10597"/>
        </w:tabs>
        <w:ind w:left="93"/>
      </w:pPr>
      <w:r w:rsidRPr="005F2373">
        <w:rPr>
          <w:i/>
        </w:rPr>
        <w:t xml:space="preserve">Table </w:t>
      </w:r>
      <w:r>
        <w:rPr>
          <w:i/>
        </w:rPr>
        <w:t>9.</w:t>
      </w:r>
      <w:r w:rsidRPr="005F2373">
        <w:rPr>
          <w:i/>
        </w:rPr>
        <w:t xml:space="preserve">1: Taxonomic information for red colobus. </w:t>
      </w:r>
    </w:p>
    <w:tbl>
      <w:tblPr>
        <w:tblW w:w="14928" w:type="dxa"/>
        <w:tblInd w:w="93" w:type="dxa"/>
        <w:tblLayout w:type="fixed"/>
        <w:tblLook w:val="04A0" w:firstRow="1" w:lastRow="0" w:firstColumn="1" w:lastColumn="0" w:noHBand="0" w:noVBand="1"/>
      </w:tblPr>
      <w:tblGrid>
        <w:gridCol w:w="2283"/>
        <w:gridCol w:w="1560"/>
        <w:gridCol w:w="1559"/>
        <w:gridCol w:w="2013"/>
        <w:gridCol w:w="2552"/>
        <w:gridCol w:w="3827"/>
        <w:gridCol w:w="1134"/>
      </w:tblGrid>
      <w:tr w:rsidR="003A3D0C" w:rsidRPr="005F2373" w:rsidTr="005348CA">
        <w:trPr>
          <w:trHeight w:val="300"/>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Region</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 xml:space="preserve">Mittermeier </w:t>
            </w:r>
            <w:r w:rsidRPr="000C2932">
              <w:rPr>
                <w:b/>
                <w:bCs/>
                <w:i/>
                <w:iCs/>
                <w:sz w:val="20"/>
                <w:szCs w:val="20"/>
              </w:rPr>
              <w:t>et al.</w:t>
            </w:r>
            <w:r>
              <w:rPr>
                <w:b/>
                <w:bCs/>
                <w:sz w:val="20"/>
                <w:szCs w:val="20"/>
              </w:rPr>
              <w:t xml:space="preserve"> (</w:t>
            </w:r>
            <w:r w:rsidRPr="005F2373">
              <w:rPr>
                <w:b/>
                <w:bCs/>
                <w:sz w:val="20"/>
                <w:szCs w:val="20"/>
              </w:rPr>
              <w:t>2013</w:t>
            </w:r>
            <w:r>
              <w:rPr>
                <w:b/>
                <w:bCs/>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 xml:space="preserve">Struhsaker </w:t>
            </w:r>
            <w:r>
              <w:rPr>
                <w:b/>
                <w:bCs/>
                <w:sz w:val="20"/>
                <w:szCs w:val="20"/>
              </w:rPr>
              <w:t>(2010)</w:t>
            </w:r>
            <w:r>
              <w:rPr>
                <w:vertAlign w:val="superscript"/>
              </w:rPr>
              <w:t>1</w:t>
            </w:r>
            <w:r w:rsidRPr="005F2373">
              <w:t xml:space="preserve"> </w:t>
            </w:r>
          </w:p>
        </w:tc>
        <w:tc>
          <w:tcPr>
            <w:tcW w:w="2013" w:type="dxa"/>
            <w:tcBorders>
              <w:top w:val="single" w:sz="4" w:space="0" w:color="auto"/>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Pr>
                <w:b/>
                <w:bCs/>
                <w:sz w:val="20"/>
                <w:szCs w:val="20"/>
              </w:rPr>
              <w:t xml:space="preserve">Grubb </w:t>
            </w:r>
            <w:r w:rsidRPr="007C7631">
              <w:rPr>
                <w:b/>
                <w:bCs/>
                <w:i/>
                <w:sz w:val="20"/>
                <w:szCs w:val="20"/>
              </w:rPr>
              <w:t>et al</w:t>
            </w:r>
            <w:r>
              <w:rPr>
                <w:b/>
                <w:bCs/>
                <w:sz w:val="20"/>
                <w:szCs w:val="20"/>
              </w:rPr>
              <w:t>. (</w:t>
            </w:r>
            <w:r w:rsidRPr="00C14C5C">
              <w:rPr>
                <w:b/>
                <w:bCs/>
                <w:color w:val="0070C0"/>
                <w:sz w:val="20"/>
                <w:szCs w:val="20"/>
              </w:rPr>
              <w:t>2003</w:t>
            </w:r>
            <w:r>
              <w:rPr>
                <w:b/>
                <w:bCs/>
                <w:sz w:val="20"/>
                <w:szCs w:val="20"/>
              </w:rPr>
              <w:t>)</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English name</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Main study sites</w:t>
            </w:r>
          </w:p>
        </w:tc>
        <w:tc>
          <w:tcPr>
            <w:tcW w:w="1134" w:type="dxa"/>
            <w:tcBorders>
              <w:top w:val="single" w:sz="4" w:space="0" w:color="auto"/>
              <w:left w:val="nil"/>
              <w:bottom w:val="single" w:sz="4" w:space="0" w:color="auto"/>
              <w:right w:val="single" w:sz="4" w:space="0" w:color="auto"/>
            </w:tcBorders>
            <w:vAlign w:val="center"/>
          </w:tcPr>
          <w:p w:rsidR="003A3D0C" w:rsidRPr="005F2373" w:rsidRDefault="003A3D0C" w:rsidP="005348CA">
            <w:pPr>
              <w:rPr>
                <w:b/>
                <w:bCs/>
                <w:sz w:val="20"/>
                <w:szCs w:val="20"/>
              </w:rPr>
            </w:pPr>
            <w:r w:rsidRPr="005F2373">
              <w:rPr>
                <w:b/>
                <w:bCs/>
              </w:rPr>
              <w:t>IUCN</w:t>
            </w:r>
            <w:r>
              <w:rPr>
                <w:b/>
                <w:bCs/>
                <w:vertAlign w:val="superscript"/>
              </w:rPr>
              <w:t>2</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 </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b/>
                <w:sz w:val="20"/>
                <w:szCs w:val="20"/>
              </w:rPr>
            </w:pPr>
            <w:r w:rsidRPr="005F2373">
              <w:rPr>
                <w:b/>
                <w:sz w:val="20"/>
                <w:szCs w:val="20"/>
              </w:rPr>
              <w:t xml:space="preserve">17 spp in genus </w:t>
            </w:r>
            <w:r w:rsidRPr="005F2373">
              <w:rPr>
                <w:b/>
                <w:i/>
                <w:sz w:val="20"/>
                <w:szCs w:val="20"/>
              </w:rPr>
              <w:t>Piliocolobus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18 taxa in 7 groups</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 xml:space="preserve">18 taxa, subgenus </w:t>
            </w:r>
            <w:r w:rsidRPr="005F2373">
              <w:rPr>
                <w:b/>
                <w:bCs/>
                <w:i/>
                <w:sz w:val="20"/>
                <w:szCs w:val="20"/>
              </w:rPr>
              <w:t>Piliocolobus</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 </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 </w:t>
            </w:r>
          </w:p>
        </w:tc>
        <w:tc>
          <w:tcPr>
            <w:tcW w:w="1134"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b/>
                <w:bCs/>
              </w:rPr>
              <w:t> </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Sierra Leone, Ivory Coast, Liberia, Guinea</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badius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i/>
                <w:sz w:val="20"/>
                <w:szCs w:val="20"/>
              </w:rPr>
              <w:t>badius</w:t>
            </w:r>
            <w:r w:rsidRPr="005F2373">
              <w:rPr>
                <w:sz w:val="20"/>
                <w:szCs w:val="20"/>
              </w:rPr>
              <w:t xml:space="preserve"> (1)</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badius badius</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Western r</w:t>
            </w:r>
            <w:r w:rsidRPr="005F2373">
              <w:rPr>
                <w:sz w:val="20"/>
                <w:szCs w:val="20"/>
              </w:rPr>
              <w:t xml:space="preserve">ed or </w:t>
            </w:r>
            <w:r>
              <w:rPr>
                <w:sz w:val="20"/>
                <w:szCs w:val="20"/>
              </w:rPr>
              <w:t>b</w:t>
            </w:r>
            <w:r w:rsidRPr="005F2373">
              <w:rPr>
                <w:sz w:val="20"/>
                <w:szCs w:val="20"/>
              </w:rPr>
              <w:t>ay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Taï</w:t>
            </w:r>
            <w:r w:rsidRPr="005F2373">
              <w:rPr>
                <w:sz w:val="20"/>
                <w:szCs w:val="20"/>
              </w:rPr>
              <w:t>, Tiwai</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Gambia, Senegal, Guinea</w:t>
            </w:r>
            <w:r>
              <w:rPr>
                <w:sz w:val="20"/>
                <w:szCs w:val="20"/>
              </w:rPr>
              <w:t xml:space="preserve">, Guinea Bissau, and possibly </w:t>
            </w:r>
            <w:r w:rsidRPr="005F2373">
              <w:rPr>
                <w:sz w:val="20"/>
                <w:szCs w:val="20"/>
              </w:rPr>
              <w:t>Sierra Leone</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temminckii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i/>
                <w:sz w:val="20"/>
                <w:szCs w:val="20"/>
              </w:rPr>
              <w:t>temminckii</w:t>
            </w:r>
            <w:r w:rsidRPr="005F2373">
              <w:rPr>
                <w:sz w:val="20"/>
                <w:szCs w:val="20"/>
              </w:rPr>
              <w:t xml:space="preserve"> (1)</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b. temminckii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Temminck's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Abuko, Fathalla</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vertAlign w:val="superscript"/>
              </w:rPr>
            </w:pPr>
            <w:r>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Ivory coast &amp; Ghana</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waldronae</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 xml:space="preserve">waldroni </w:t>
            </w:r>
            <w:r w:rsidRPr="005F2373">
              <w:rPr>
                <w:sz w:val="20"/>
                <w:szCs w:val="20"/>
              </w:rPr>
              <w:t>(1)</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b. waldroni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M</w:t>
            </w:r>
            <w:r>
              <w:rPr>
                <w:sz w:val="20"/>
                <w:szCs w:val="20"/>
              </w:rPr>
              <w:t>iss</w:t>
            </w:r>
            <w:r w:rsidRPr="005F2373">
              <w:rPr>
                <w:sz w:val="20"/>
                <w:szCs w:val="20"/>
              </w:rPr>
              <w:t xml:space="preserve"> Waldron's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CR</w:t>
            </w:r>
            <w:r>
              <w:rPr>
                <w:vertAlign w:val="superscript"/>
              </w:rPr>
              <w:t>3</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Bioko Island</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pennantii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pennantii</w:t>
            </w:r>
            <w:r w:rsidRPr="005F2373">
              <w:rPr>
                <w:sz w:val="20"/>
                <w:szCs w:val="20"/>
              </w:rPr>
              <w:t xml:space="preserve"> (3)</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pennantii pennantii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Pennant's or Bioko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Bioko Island</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CR</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Niger Delta</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epieni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epieni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 epieni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Niger Delta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CR</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Congo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bouvieri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 xml:space="preserve">bouvieri </w:t>
            </w:r>
            <w:r w:rsidRPr="005F2373">
              <w:rPr>
                <w:sz w:val="20"/>
                <w:szCs w:val="20"/>
              </w:rPr>
              <w:t>(4)</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 bouvieri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Bouvier's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SE Nigeria to SW Cameroon</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preussii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i/>
                <w:sz w:val="20"/>
                <w:szCs w:val="20"/>
              </w:rPr>
              <w:t>preussi</w:t>
            </w:r>
            <w:r w:rsidRPr="005F2373">
              <w:rPr>
                <w:sz w:val="20"/>
                <w:szCs w:val="20"/>
              </w:rPr>
              <w:t xml:space="preserve"> (2)</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preussi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Preuss's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Korup NP</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CR</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Tana River, Kenya</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rufomitratus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rufomitratus</w:t>
            </w:r>
            <w:r w:rsidRPr="005F2373">
              <w:rPr>
                <w:sz w:val="20"/>
                <w:szCs w:val="20"/>
              </w:rPr>
              <w:t xml:space="preserve"> (6)</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rufomitratus rufomitratus</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Tana river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Tana River area</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CR</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DR Congo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tholloni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tholloni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tholloni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Tshuapa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VU</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CAR, DR Congo, South Sudan</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oustaleti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oustaleti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oustaleti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Oustalet’s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VU</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DR Congo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parmentieri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parmentieri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parmentieri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Lomami red colobus</w:t>
            </w:r>
            <w:r w:rsidRPr="005F2373">
              <w:rPr>
                <w:sz w:val="20"/>
                <w:szCs w:val="20"/>
              </w:rPr>
              <w:t> </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Congo basin</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tephrosceles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i/>
                <w:sz w:val="20"/>
                <w:szCs w:val="20"/>
              </w:rPr>
              <w:t>tephrosceles</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tephrosceles</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Eastern or Ash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Kibale (Kanyawara, Ngogo), Gombe</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Congo basin</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foai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foai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foai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Foa’s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Congo basin</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semlikiensis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7C7631" w:rsidRDefault="003A3D0C" w:rsidP="005348CA">
            <w:pPr>
              <w:rPr>
                <w:i/>
                <w:iCs/>
                <w:sz w:val="20"/>
                <w:szCs w:val="20"/>
              </w:rPr>
            </w:pPr>
            <w:r w:rsidRPr="007C7631">
              <w:rPr>
                <w:i/>
                <w:iCs/>
                <w:sz w:val="20"/>
                <w:szCs w:val="20"/>
              </w:rPr>
              <w:t>ellioti</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ellioti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Semliki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VU</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DR Congo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lulindicus'</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 xml:space="preserve">lulindicus </w:t>
            </w:r>
            <w:r w:rsidRPr="005F2373">
              <w:rPr>
                <w:sz w:val="20"/>
                <w:szCs w:val="20"/>
              </w:rPr>
              <w:t>(5)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lulindicus</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Ulindi River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VU</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DR Congo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langi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7C7631">
              <w:rPr>
                <w:i/>
                <w:iCs/>
                <w:sz w:val="20"/>
                <w:szCs w:val="20"/>
              </w:rPr>
              <w:t>langi</w:t>
            </w:r>
            <w:r w:rsidRPr="005F2373">
              <w:rPr>
                <w:sz w:val="20"/>
                <w:szCs w:val="20"/>
              </w:rPr>
              <w:t xml:space="preserve"> (5)</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r. langi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Pr>
                <w:sz w:val="20"/>
                <w:szCs w:val="20"/>
              </w:rPr>
              <w:t>Lang’s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Zanzibar Archipelago</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kirkii</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i/>
                <w:sz w:val="20"/>
                <w:szCs w:val="20"/>
              </w:rPr>
              <w:t>kirkii</w:t>
            </w:r>
            <w:r w:rsidRPr="005F2373">
              <w:rPr>
                <w:sz w:val="20"/>
                <w:szCs w:val="20"/>
              </w:rPr>
              <w:t xml:space="preserve"> (7)</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385ABD" w:rsidRDefault="003A3D0C" w:rsidP="005348CA">
            <w:pPr>
              <w:rPr>
                <w:bCs/>
                <w:i/>
                <w:sz w:val="20"/>
                <w:szCs w:val="20"/>
              </w:rPr>
            </w:pPr>
            <w:r w:rsidRPr="00385ABD">
              <w:rPr>
                <w:bCs/>
                <w:i/>
                <w:sz w:val="20"/>
                <w:szCs w:val="20"/>
              </w:rPr>
              <w:t>P. kirkii</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Zanzibar or Kirk's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F43330" w:rsidRDefault="003A3D0C" w:rsidP="005348CA">
            <w:pPr>
              <w:rPr>
                <w:color w:val="000000" w:themeColor="text1"/>
                <w:sz w:val="20"/>
                <w:szCs w:val="20"/>
              </w:rPr>
            </w:pPr>
            <w:r w:rsidRPr="00F43330">
              <w:rPr>
                <w:color w:val="000000" w:themeColor="text1"/>
                <w:sz w:val="20"/>
                <w:szCs w:val="20"/>
              </w:rPr>
              <w:t xml:space="preserve">Jozani-Chwaka Bay NP &amp; nearby agricultural mosaics; Kiwengwa FR, Uzi Island mangroves </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rsidRPr="005F2373">
              <w:t>EN</w:t>
            </w:r>
          </w:p>
        </w:tc>
      </w:tr>
      <w:tr w:rsidR="003A3D0C" w:rsidRPr="005F2373" w:rsidTr="005348CA">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Udzungwa, Tanzania</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i/>
                <w:sz w:val="20"/>
                <w:szCs w:val="20"/>
              </w:rPr>
            </w:pPr>
            <w:r w:rsidRPr="005F2373">
              <w:rPr>
                <w:i/>
                <w:sz w:val="20"/>
                <w:szCs w:val="20"/>
              </w:rPr>
              <w:t>P. gordonorum</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gordonorum (7)</w:t>
            </w:r>
          </w:p>
        </w:tc>
        <w:tc>
          <w:tcPr>
            <w:tcW w:w="2013" w:type="dxa"/>
            <w:tcBorders>
              <w:top w:val="nil"/>
              <w:left w:val="nil"/>
              <w:bottom w:val="single" w:sz="4" w:space="0" w:color="auto"/>
              <w:right w:val="single" w:sz="4" w:space="0" w:color="auto"/>
            </w:tcBorders>
            <w:shd w:val="clear" w:color="auto" w:fill="auto"/>
            <w:noWrap/>
            <w:vAlign w:val="bottom"/>
            <w:hideMark/>
          </w:tcPr>
          <w:p w:rsidR="003A3D0C" w:rsidRPr="00385ABD" w:rsidRDefault="003A3D0C" w:rsidP="005348CA">
            <w:pPr>
              <w:rPr>
                <w:bCs/>
                <w:i/>
                <w:sz w:val="20"/>
                <w:szCs w:val="20"/>
              </w:rPr>
            </w:pPr>
            <w:r w:rsidRPr="00385ABD">
              <w:rPr>
                <w:bCs/>
                <w:i/>
                <w:sz w:val="20"/>
                <w:szCs w:val="20"/>
              </w:rPr>
              <w:t>P. gordonorum</w:t>
            </w:r>
          </w:p>
        </w:tc>
        <w:tc>
          <w:tcPr>
            <w:tcW w:w="2552"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Udzungwa red colobus</w:t>
            </w:r>
          </w:p>
        </w:tc>
        <w:tc>
          <w:tcPr>
            <w:tcW w:w="3827"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Udzungwa</w:t>
            </w:r>
          </w:p>
        </w:tc>
        <w:tc>
          <w:tcPr>
            <w:tcW w:w="1134" w:type="dxa"/>
            <w:tcBorders>
              <w:top w:val="nil"/>
              <w:left w:val="nil"/>
              <w:bottom w:val="single" w:sz="4" w:space="0" w:color="auto"/>
              <w:right w:val="single" w:sz="4" w:space="0" w:color="auto"/>
            </w:tcBorders>
            <w:vAlign w:val="center"/>
          </w:tcPr>
          <w:p w:rsidR="003A3D0C" w:rsidRPr="005F2373" w:rsidRDefault="003A3D0C" w:rsidP="005348CA">
            <w:pPr>
              <w:rPr>
                <w:sz w:val="20"/>
                <w:szCs w:val="20"/>
              </w:rPr>
            </w:pPr>
            <w:r>
              <w:t>VU</w:t>
            </w:r>
          </w:p>
        </w:tc>
      </w:tr>
    </w:tbl>
    <w:p w:rsidR="003A3D0C" w:rsidRPr="00C255EE" w:rsidRDefault="003A3D0C" w:rsidP="003A3D0C">
      <w:r>
        <w:rPr>
          <w:vertAlign w:val="superscript"/>
        </w:rPr>
        <w:lastRenderedPageBreak/>
        <w:t>1</w:t>
      </w:r>
      <w:r w:rsidRPr="00F43330">
        <w:rPr>
          <w:color w:val="000000" w:themeColor="text1"/>
        </w:rPr>
        <w:t xml:space="preserve"> The numbers are arbitrary indicators of taxonomic group membership as suggested by Struhsaker </w:t>
      </w:r>
      <w:r>
        <w:t xml:space="preserve">(2010) (species with the same number group together). NP = National Park, FR = Forest Reserve; </w:t>
      </w:r>
      <w:r w:rsidRPr="00C255EE">
        <w:rPr>
          <w:vertAlign w:val="superscript"/>
        </w:rPr>
        <w:t>2</w:t>
      </w:r>
      <w:r>
        <w:rPr>
          <w:vertAlign w:val="superscript"/>
        </w:rPr>
        <w:t xml:space="preserve"> </w:t>
      </w:r>
      <w:r>
        <w:t xml:space="preserve">IUCN 2020 </w:t>
      </w:r>
      <w:r w:rsidRPr="00437EEF">
        <w:rPr>
          <w:i/>
          <w:iCs/>
        </w:rPr>
        <w:t>The IUCN Red List of Threatened Species. Version 2020-2</w:t>
      </w:r>
      <w:r w:rsidRPr="00437EEF">
        <w:t>. https://www.iucnredlist.org. Downloaded on 09 July 2020</w:t>
      </w:r>
      <w:r>
        <w:t xml:space="preserve">; </w:t>
      </w:r>
      <w:r>
        <w:rPr>
          <w:vertAlign w:val="superscript"/>
        </w:rPr>
        <w:t>3</w:t>
      </w:r>
      <w:r>
        <w:t xml:space="preserve"> Possibly extinct.</w:t>
      </w:r>
      <w:r w:rsidRPr="005F2373">
        <w:br w:type="page"/>
      </w:r>
    </w:p>
    <w:p w:rsidR="003A3D0C" w:rsidRPr="005F2373" w:rsidRDefault="003A3D0C" w:rsidP="003A3D0C">
      <w:pPr>
        <w:widowControl w:val="0"/>
        <w:autoSpaceDE w:val="0"/>
        <w:autoSpaceDN w:val="0"/>
        <w:adjustRightInd w:val="0"/>
      </w:pPr>
      <w:r w:rsidRPr="005F2373">
        <w:lastRenderedPageBreak/>
        <w:t xml:space="preserve">Table </w:t>
      </w:r>
      <w:r>
        <w:t>9.</w:t>
      </w:r>
      <w:r w:rsidRPr="005F2373">
        <w:t>2: Weight and swelling size information for species that have such information</w:t>
      </w:r>
    </w:p>
    <w:tbl>
      <w:tblPr>
        <w:tblW w:w="13765" w:type="dxa"/>
        <w:tblInd w:w="93" w:type="dxa"/>
        <w:tblLayout w:type="fixed"/>
        <w:tblLook w:val="04A0" w:firstRow="1" w:lastRow="0" w:firstColumn="1" w:lastColumn="0" w:noHBand="0" w:noVBand="1"/>
      </w:tblPr>
      <w:tblGrid>
        <w:gridCol w:w="1575"/>
        <w:gridCol w:w="708"/>
        <w:gridCol w:w="1276"/>
        <w:gridCol w:w="1418"/>
        <w:gridCol w:w="850"/>
        <w:gridCol w:w="1559"/>
        <w:gridCol w:w="1560"/>
        <w:gridCol w:w="2551"/>
        <w:gridCol w:w="2268"/>
      </w:tblGrid>
      <w:tr w:rsidR="003A3D0C" w:rsidRPr="005F2373" w:rsidTr="005348CA">
        <w:trPr>
          <w:trHeight w:val="300"/>
        </w:trPr>
        <w:tc>
          <w:tcPr>
            <w:tcW w:w="1575" w:type="dxa"/>
            <w:tcBorders>
              <w:top w:val="single" w:sz="4" w:space="0" w:color="auto"/>
              <w:left w:val="single" w:sz="4" w:space="0" w:color="auto"/>
              <w:right w:val="single" w:sz="4" w:space="0" w:color="auto"/>
            </w:tcBorders>
            <w:vAlign w:val="bottom"/>
          </w:tcPr>
          <w:p w:rsidR="003A3D0C" w:rsidRPr="005F2373" w:rsidRDefault="003A3D0C" w:rsidP="005348CA">
            <w:pPr>
              <w:rPr>
                <w:b/>
                <w:bCs/>
                <w:sz w:val="20"/>
                <w:szCs w:val="20"/>
              </w:rPr>
            </w:pPr>
          </w:p>
        </w:tc>
        <w:tc>
          <w:tcPr>
            <w:tcW w:w="3402" w:type="dxa"/>
            <w:gridSpan w:val="3"/>
            <w:tcBorders>
              <w:top w:val="single" w:sz="4" w:space="0" w:color="auto"/>
              <w:left w:val="nil"/>
              <w:right w:val="single" w:sz="4" w:space="0" w:color="auto"/>
            </w:tcBorders>
            <w:vAlign w:val="bottom"/>
          </w:tcPr>
          <w:p w:rsidR="003A3D0C" w:rsidRDefault="003A3D0C" w:rsidP="005348CA">
            <w:pPr>
              <w:jc w:val="center"/>
              <w:rPr>
                <w:b/>
                <w:bCs/>
                <w:sz w:val="20"/>
                <w:szCs w:val="20"/>
              </w:rPr>
            </w:pPr>
            <w:r>
              <w:rPr>
                <w:b/>
                <w:bCs/>
                <w:sz w:val="20"/>
                <w:szCs w:val="20"/>
              </w:rPr>
              <w:t>Body mass adult females</w:t>
            </w:r>
          </w:p>
        </w:tc>
        <w:tc>
          <w:tcPr>
            <w:tcW w:w="3969" w:type="dxa"/>
            <w:gridSpan w:val="3"/>
            <w:tcBorders>
              <w:top w:val="single" w:sz="4" w:space="0" w:color="auto"/>
              <w:left w:val="single" w:sz="4" w:space="0" w:color="auto"/>
              <w:right w:val="single" w:sz="4" w:space="0" w:color="auto"/>
            </w:tcBorders>
            <w:shd w:val="clear" w:color="auto" w:fill="auto"/>
            <w:noWrap/>
            <w:vAlign w:val="bottom"/>
          </w:tcPr>
          <w:p w:rsidR="003A3D0C" w:rsidRPr="005F2373" w:rsidRDefault="003A3D0C" w:rsidP="005348CA">
            <w:pPr>
              <w:jc w:val="center"/>
              <w:rPr>
                <w:b/>
                <w:bCs/>
                <w:sz w:val="20"/>
                <w:szCs w:val="20"/>
              </w:rPr>
            </w:pPr>
            <w:r>
              <w:rPr>
                <w:b/>
                <w:bCs/>
                <w:sz w:val="20"/>
                <w:szCs w:val="20"/>
              </w:rPr>
              <w:t>Body mass adult males</w:t>
            </w:r>
          </w:p>
        </w:tc>
        <w:tc>
          <w:tcPr>
            <w:tcW w:w="2551" w:type="dxa"/>
            <w:vMerge w:val="restart"/>
            <w:tcBorders>
              <w:top w:val="single" w:sz="4" w:space="0" w:color="auto"/>
              <w:left w:val="nil"/>
              <w:right w:val="single" w:sz="4" w:space="0" w:color="auto"/>
            </w:tcBorders>
            <w:shd w:val="clear" w:color="auto" w:fill="auto"/>
            <w:noWrap/>
            <w:vAlign w:val="bottom"/>
          </w:tcPr>
          <w:p w:rsidR="003A3D0C" w:rsidRPr="005F2373" w:rsidRDefault="003A3D0C" w:rsidP="005348CA">
            <w:pPr>
              <w:rPr>
                <w:b/>
                <w:bCs/>
                <w:sz w:val="20"/>
                <w:szCs w:val="20"/>
              </w:rPr>
            </w:pPr>
            <w:r>
              <w:rPr>
                <w:b/>
                <w:bCs/>
                <w:sz w:val="20"/>
                <w:szCs w:val="20"/>
              </w:rPr>
              <w:t>S</w:t>
            </w:r>
            <w:r w:rsidRPr="005F2373">
              <w:rPr>
                <w:b/>
                <w:bCs/>
                <w:sz w:val="20"/>
                <w:szCs w:val="20"/>
              </w:rPr>
              <w:t xml:space="preserve">ex </w:t>
            </w:r>
            <w:r>
              <w:rPr>
                <w:b/>
                <w:bCs/>
                <w:sz w:val="20"/>
                <w:szCs w:val="20"/>
              </w:rPr>
              <w:t>D</w:t>
            </w:r>
            <w:r w:rsidRPr="005F2373">
              <w:rPr>
                <w:b/>
                <w:bCs/>
                <w:sz w:val="20"/>
                <w:szCs w:val="20"/>
              </w:rPr>
              <w:t>imorphism</w:t>
            </w:r>
            <w:r>
              <w:rPr>
                <w:b/>
                <w:bCs/>
                <w:sz w:val="20"/>
                <w:szCs w:val="20"/>
              </w:rPr>
              <w:t xml:space="preserve"> (F/M)</w:t>
            </w:r>
          </w:p>
        </w:tc>
        <w:tc>
          <w:tcPr>
            <w:tcW w:w="2268" w:type="dxa"/>
            <w:tcBorders>
              <w:top w:val="single" w:sz="4" w:space="0" w:color="auto"/>
              <w:left w:val="nil"/>
              <w:right w:val="single" w:sz="4" w:space="0" w:color="auto"/>
            </w:tcBorders>
            <w:vAlign w:val="bottom"/>
          </w:tcPr>
          <w:p w:rsidR="003A3D0C" w:rsidRPr="005F2373" w:rsidRDefault="003A3D0C" w:rsidP="005348CA">
            <w:pPr>
              <w:rPr>
                <w:b/>
                <w:bCs/>
                <w:sz w:val="20"/>
                <w:szCs w:val="20"/>
              </w:rPr>
            </w:pPr>
          </w:p>
        </w:tc>
      </w:tr>
      <w:tr w:rsidR="003A3D0C" w:rsidRPr="005F2373" w:rsidTr="005348CA">
        <w:trPr>
          <w:trHeight w:val="300"/>
        </w:trPr>
        <w:tc>
          <w:tcPr>
            <w:tcW w:w="1575" w:type="dxa"/>
            <w:tcBorders>
              <w:left w:val="single" w:sz="4" w:space="0" w:color="auto"/>
              <w:bottom w:val="single" w:sz="4" w:space="0" w:color="auto"/>
              <w:right w:val="single" w:sz="4" w:space="0" w:color="auto"/>
            </w:tcBorders>
            <w:vAlign w:val="bottom"/>
          </w:tcPr>
          <w:p w:rsidR="003A3D0C" w:rsidRPr="005F2373" w:rsidRDefault="003A3D0C" w:rsidP="005348CA">
            <w:pPr>
              <w:rPr>
                <w:b/>
                <w:bCs/>
                <w:sz w:val="20"/>
                <w:szCs w:val="20"/>
              </w:rPr>
            </w:pPr>
          </w:p>
        </w:tc>
        <w:tc>
          <w:tcPr>
            <w:tcW w:w="708" w:type="dxa"/>
            <w:tcBorders>
              <w:left w:val="nil"/>
              <w:bottom w:val="single" w:sz="4" w:space="0" w:color="auto"/>
              <w:right w:val="nil"/>
            </w:tcBorders>
            <w:vAlign w:val="bottom"/>
          </w:tcPr>
          <w:p w:rsidR="003A3D0C" w:rsidRDefault="003A3D0C" w:rsidP="005348CA">
            <w:pPr>
              <w:rPr>
                <w:b/>
                <w:bCs/>
                <w:sz w:val="20"/>
                <w:szCs w:val="20"/>
              </w:rPr>
            </w:pPr>
            <w:r>
              <w:rPr>
                <w:b/>
                <w:bCs/>
                <w:sz w:val="20"/>
                <w:szCs w:val="20"/>
              </w:rPr>
              <w:t>Mean</w:t>
            </w:r>
          </w:p>
        </w:tc>
        <w:tc>
          <w:tcPr>
            <w:tcW w:w="1276" w:type="dxa"/>
            <w:tcBorders>
              <w:left w:val="nil"/>
              <w:bottom w:val="single" w:sz="4" w:space="0" w:color="auto"/>
              <w:right w:val="nil"/>
            </w:tcBorders>
            <w:vAlign w:val="bottom"/>
          </w:tcPr>
          <w:p w:rsidR="003A3D0C" w:rsidRDefault="003A3D0C" w:rsidP="005348CA">
            <w:pPr>
              <w:rPr>
                <w:b/>
                <w:bCs/>
                <w:sz w:val="20"/>
                <w:szCs w:val="20"/>
              </w:rPr>
            </w:pPr>
            <w:r w:rsidRPr="005F2373">
              <w:rPr>
                <w:b/>
                <w:bCs/>
                <w:sz w:val="20"/>
                <w:szCs w:val="20"/>
              </w:rPr>
              <w:t>Min-Max</w:t>
            </w:r>
          </w:p>
        </w:tc>
        <w:tc>
          <w:tcPr>
            <w:tcW w:w="1418" w:type="dxa"/>
            <w:tcBorders>
              <w:left w:val="nil"/>
              <w:bottom w:val="single" w:sz="4" w:space="0" w:color="auto"/>
              <w:right w:val="single" w:sz="4" w:space="0" w:color="auto"/>
            </w:tcBorders>
            <w:vAlign w:val="bottom"/>
          </w:tcPr>
          <w:p w:rsidR="003A3D0C" w:rsidRDefault="003A3D0C" w:rsidP="005348CA">
            <w:pPr>
              <w:rPr>
                <w:b/>
                <w:bCs/>
                <w:sz w:val="20"/>
                <w:szCs w:val="20"/>
              </w:rPr>
            </w:pPr>
            <w:r>
              <w:rPr>
                <w:b/>
                <w:bCs/>
                <w:sz w:val="20"/>
                <w:szCs w:val="20"/>
              </w:rPr>
              <w:t>Sample size</w:t>
            </w:r>
          </w:p>
        </w:tc>
        <w:tc>
          <w:tcPr>
            <w:tcW w:w="850" w:type="dxa"/>
            <w:tcBorders>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Pr>
                <w:b/>
                <w:bCs/>
                <w:sz w:val="20"/>
                <w:szCs w:val="20"/>
              </w:rPr>
              <w:t>Mean</w:t>
            </w:r>
          </w:p>
        </w:tc>
        <w:tc>
          <w:tcPr>
            <w:tcW w:w="1559" w:type="dxa"/>
            <w:tcBorders>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sidRPr="005F2373">
              <w:rPr>
                <w:b/>
                <w:bCs/>
                <w:sz w:val="20"/>
                <w:szCs w:val="20"/>
              </w:rPr>
              <w:t>Min-Max</w:t>
            </w:r>
          </w:p>
        </w:tc>
        <w:tc>
          <w:tcPr>
            <w:tcW w:w="1560" w:type="dxa"/>
            <w:tcBorders>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r>
              <w:rPr>
                <w:b/>
                <w:bCs/>
                <w:sz w:val="20"/>
                <w:szCs w:val="20"/>
              </w:rPr>
              <w:t>Sample size</w:t>
            </w:r>
          </w:p>
        </w:tc>
        <w:tc>
          <w:tcPr>
            <w:tcW w:w="2551" w:type="dxa"/>
            <w:vMerge/>
            <w:tcBorders>
              <w:left w:val="nil"/>
              <w:bottom w:val="single" w:sz="4" w:space="0" w:color="auto"/>
              <w:right w:val="single" w:sz="4" w:space="0" w:color="auto"/>
            </w:tcBorders>
            <w:shd w:val="clear" w:color="auto" w:fill="auto"/>
            <w:noWrap/>
            <w:vAlign w:val="bottom"/>
            <w:hideMark/>
          </w:tcPr>
          <w:p w:rsidR="003A3D0C" w:rsidRPr="005F2373" w:rsidRDefault="003A3D0C" w:rsidP="005348CA">
            <w:pPr>
              <w:rPr>
                <w:b/>
                <w:bCs/>
                <w:sz w:val="20"/>
                <w:szCs w:val="20"/>
              </w:rPr>
            </w:pPr>
          </w:p>
        </w:tc>
        <w:tc>
          <w:tcPr>
            <w:tcW w:w="2268" w:type="dxa"/>
            <w:tcBorders>
              <w:left w:val="nil"/>
              <w:bottom w:val="single" w:sz="4" w:space="0" w:color="auto"/>
              <w:right w:val="single" w:sz="4" w:space="0" w:color="auto"/>
            </w:tcBorders>
            <w:vAlign w:val="bottom"/>
          </w:tcPr>
          <w:p w:rsidR="003A3D0C" w:rsidRPr="005F2373" w:rsidRDefault="003A3D0C" w:rsidP="005348CA">
            <w:pPr>
              <w:rPr>
                <w:b/>
                <w:bCs/>
                <w:sz w:val="20"/>
                <w:szCs w:val="20"/>
              </w:rPr>
            </w:pPr>
            <w:r w:rsidRPr="005F2373">
              <w:rPr>
                <w:b/>
                <w:bCs/>
                <w:sz w:val="20"/>
                <w:szCs w:val="20"/>
              </w:rPr>
              <w:t>Swelling Size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badius</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7.8</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5.0 to 10.0</w:t>
            </w: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37</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8.4</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6.4 to 9.6</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17</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1.08</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temminckii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waldron</w:t>
            </w:r>
            <w:r>
              <w:rPr>
                <w:i/>
                <w:sz w:val="20"/>
                <w:szCs w:val="20"/>
              </w:rPr>
              <w:t>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5.8</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5.5 to 6.0</w:t>
            </w: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2</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6.4</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6.3 to 6.5</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2</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1.10</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vertAlign w:val="superscript"/>
              </w:rPr>
            </w:pPr>
            <w:r w:rsidRPr="005F2373">
              <w:rPr>
                <w:i/>
                <w:sz w:val="20"/>
                <w:szCs w:val="20"/>
              </w:rPr>
              <w:t>P. pennantii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10</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1</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11</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1.10</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epieni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Medium (donut size)</w:t>
            </w:r>
            <w:r w:rsidRPr="005F2373">
              <w:rPr>
                <w:sz w:val="20"/>
                <w:szCs w:val="20"/>
                <w:vertAlign w:val="superscript"/>
              </w:rPr>
              <w:t>1</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preussii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7.3</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1</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0</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Very 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rufomitratus</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7.2</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6.0 to 8.0</w:t>
            </w: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7</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9.7</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9.0 to 10.0</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3</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1.35</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Small</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tholloni</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estimated small range 7-10</w:t>
            </w:r>
            <w:r>
              <w:rPr>
                <w:sz w:val="20"/>
                <w:szCs w:val="20"/>
              </w:rPr>
              <w:t xml:space="preserve"> kg</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Medium?</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oustaleti</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estimated mid range 8-11</w:t>
            </w:r>
            <w:r>
              <w:rPr>
                <w:sz w:val="20"/>
                <w:szCs w:val="20"/>
              </w:rPr>
              <w:t xml:space="preserve"> </w:t>
            </w:r>
            <w:r w:rsidRPr="005F2373">
              <w:rPr>
                <w:sz w:val="20"/>
                <w:szCs w:val="20"/>
              </w:rPr>
              <w:t>kg</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parmentieri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Large</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tephrosceles</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5.8</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1</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10.5</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1.81</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Small</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kirkii</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6.8</w:t>
            </w: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r w:rsidRPr="005F2373">
              <w:rPr>
                <w:sz w:val="20"/>
                <w:szCs w:val="20"/>
              </w:rPr>
              <w:t>5.5 to 8.4</w:t>
            </w: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25</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7</w:t>
            </w: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5.5 to 9.4</w:t>
            </w: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26</w:t>
            </w: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r w:rsidRPr="005F2373">
              <w:rPr>
                <w:sz w:val="20"/>
                <w:szCs w:val="20"/>
              </w:rPr>
              <w:t>1.03</w:t>
            </w: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Small</w:t>
            </w:r>
          </w:p>
        </w:tc>
      </w:tr>
      <w:tr w:rsidR="003A3D0C" w:rsidRPr="005F2373" w:rsidTr="005348CA">
        <w:trPr>
          <w:trHeight w:val="300"/>
        </w:trPr>
        <w:tc>
          <w:tcPr>
            <w:tcW w:w="1575" w:type="dxa"/>
            <w:tcBorders>
              <w:top w:val="single" w:sz="4" w:space="0" w:color="auto"/>
              <w:left w:val="single" w:sz="4" w:space="0" w:color="auto"/>
              <w:bottom w:val="single" w:sz="4" w:space="0" w:color="auto"/>
              <w:right w:val="single" w:sz="4" w:space="0" w:color="auto"/>
            </w:tcBorders>
            <w:vAlign w:val="bottom"/>
          </w:tcPr>
          <w:p w:rsidR="003A3D0C" w:rsidRPr="005F2373" w:rsidRDefault="003A3D0C" w:rsidP="005348CA">
            <w:pPr>
              <w:rPr>
                <w:i/>
                <w:sz w:val="20"/>
                <w:szCs w:val="20"/>
              </w:rPr>
            </w:pPr>
            <w:r w:rsidRPr="005F2373">
              <w:rPr>
                <w:i/>
                <w:sz w:val="20"/>
                <w:szCs w:val="20"/>
              </w:rPr>
              <w:t>P. gordonorum</w:t>
            </w:r>
          </w:p>
        </w:tc>
        <w:tc>
          <w:tcPr>
            <w:tcW w:w="708"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276" w:type="dxa"/>
            <w:tcBorders>
              <w:top w:val="nil"/>
              <w:left w:val="nil"/>
              <w:bottom w:val="single" w:sz="4" w:space="0" w:color="auto"/>
              <w:right w:val="nil"/>
            </w:tcBorders>
            <w:vAlign w:val="bottom"/>
          </w:tcPr>
          <w:p w:rsidR="003A3D0C" w:rsidRPr="005F2373" w:rsidRDefault="003A3D0C" w:rsidP="005348CA">
            <w:pPr>
              <w:rPr>
                <w:sz w:val="20"/>
                <w:szCs w:val="20"/>
              </w:rPr>
            </w:pPr>
          </w:p>
        </w:tc>
        <w:tc>
          <w:tcPr>
            <w:tcW w:w="141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59"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551" w:type="dxa"/>
            <w:tcBorders>
              <w:top w:val="nil"/>
              <w:left w:val="nil"/>
              <w:bottom w:val="single" w:sz="4" w:space="0" w:color="auto"/>
              <w:right w:val="single" w:sz="4" w:space="0" w:color="auto"/>
            </w:tcBorders>
            <w:shd w:val="clear" w:color="auto" w:fill="auto"/>
            <w:noWrap/>
            <w:vAlign w:val="bottom"/>
            <w:hideMark/>
          </w:tcPr>
          <w:p w:rsidR="003A3D0C" w:rsidRPr="005F2373" w:rsidRDefault="003A3D0C" w:rsidP="005348CA">
            <w:pPr>
              <w:rPr>
                <w:sz w:val="20"/>
                <w:szCs w:val="20"/>
              </w:rPr>
            </w:pPr>
          </w:p>
        </w:tc>
        <w:tc>
          <w:tcPr>
            <w:tcW w:w="2268" w:type="dxa"/>
            <w:tcBorders>
              <w:top w:val="nil"/>
              <w:left w:val="nil"/>
              <w:bottom w:val="single" w:sz="4" w:space="0" w:color="auto"/>
              <w:right w:val="single" w:sz="4" w:space="0" w:color="auto"/>
            </w:tcBorders>
            <w:vAlign w:val="bottom"/>
          </w:tcPr>
          <w:p w:rsidR="003A3D0C" w:rsidRPr="005F2373" w:rsidRDefault="003A3D0C" w:rsidP="005348CA">
            <w:pPr>
              <w:rPr>
                <w:sz w:val="20"/>
                <w:szCs w:val="20"/>
              </w:rPr>
            </w:pPr>
            <w:r w:rsidRPr="005F2373">
              <w:rPr>
                <w:sz w:val="20"/>
                <w:szCs w:val="20"/>
              </w:rPr>
              <w:t>Medium/ Large</w:t>
            </w:r>
          </w:p>
        </w:tc>
      </w:tr>
    </w:tbl>
    <w:p w:rsidR="003A3D0C" w:rsidRPr="00F43330" w:rsidRDefault="003A3D0C" w:rsidP="003A3D0C">
      <w:pPr>
        <w:widowControl w:val="0"/>
        <w:autoSpaceDE w:val="0"/>
        <w:autoSpaceDN w:val="0"/>
        <w:adjustRightInd w:val="0"/>
        <w:ind w:right="1780"/>
        <w:rPr>
          <w:color w:val="000000" w:themeColor="text1"/>
        </w:rPr>
      </w:pPr>
      <w:r w:rsidRPr="00F43330">
        <w:rPr>
          <w:color w:val="000000" w:themeColor="text1"/>
        </w:rPr>
        <w:t xml:space="preserve">Weight is mostly taken from Delson et al. (2000) but all sources are summarised in the relevant profiles in Butynski </w:t>
      </w:r>
      <w:r w:rsidRPr="00F43330">
        <w:rPr>
          <w:i/>
          <w:color w:val="000000" w:themeColor="text1"/>
        </w:rPr>
        <w:t xml:space="preserve">et al. </w:t>
      </w:r>
      <w:r w:rsidRPr="00F43330">
        <w:rPr>
          <w:color w:val="000000" w:themeColor="text1"/>
        </w:rPr>
        <w:t xml:space="preserve">(2013) Mammals of Africa: Volume II Primates; whilst information on swelling size is based on AHK personal observations and Struhsaker (2010). Species profiles: </w:t>
      </w:r>
      <w:r w:rsidRPr="00F43330">
        <w:rPr>
          <w:i/>
          <w:color w:val="000000" w:themeColor="text1"/>
        </w:rPr>
        <w:t>P. badius</w:t>
      </w:r>
      <w:r w:rsidRPr="00F43330">
        <w:rPr>
          <w:color w:val="000000" w:themeColor="text1"/>
        </w:rPr>
        <w:t>,</w:t>
      </w:r>
      <w:r w:rsidRPr="00F43330">
        <w:rPr>
          <w:i/>
          <w:color w:val="000000" w:themeColor="text1"/>
        </w:rPr>
        <w:t xml:space="preserve"> P. temminckii</w:t>
      </w:r>
      <w:r w:rsidRPr="00F43330">
        <w:rPr>
          <w:color w:val="000000" w:themeColor="text1"/>
        </w:rPr>
        <w:t>,</w:t>
      </w:r>
      <w:r w:rsidRPr="00F43330">
        <w:rPr>
          <w:i/>
          <w:color w:val="000000" w:themeColor="text1"/>
        </w:rPr>
        <w:t xml:space="preserve"> P. waldroni</w:t>
      </w:r>
      <w:r w:rsidRPr="00F43330">
        <w:rPr>
          <w:color w:val="000000" w:themeColor="text1"/>
        </w:rPr>
        <w:t xml:space="preserve"> in Butynski </w:t>
      </w:r>
      <w:r w:rsidRPr="00F43330">
        <w:rPr>
          <w:i/>
          <w:color w:val="000000" w:themeColor="text1"/>
        </w:rPr>
        <w:t>et al.</w:t>
      </w:r>
      <w:r w:rsidRPr="00F43330">
        <w:rPr>
          <w:color w:val="000000" w:themeColor="text1"/>
        </w:rPr>
        <w:t xml:space="preserve"> (2013a); </w:t>
      </w:r>
      <w:r w:rsidRPr="00F43330">
        <w:rPr>
          <w:i/>
          <w:color w:val="000000" w:themeColor="text1"/>
        </w:rPr>
        <w:t>P. pennantii</w:t>
      </w:r>
      <w:r w:rsidRPr="00F43330">
        <w:rPr>
          <w:color w:val="000000" w:themeColor="text1"/>
        </w:rPr>
        <w:t xml:space="preserve"> in </w:t>
      </w:r>
      <w:r w:rsidRPr="00F43330">
        <w:rPr>
          <w:noProof/>
          <w:color w:val="000000" w:themeColor="text1"/>
        </w:rPr>
        <w:t>Butynski et al. (2013b</w:t>
      </w:r>
      <w:r w:rsidRPr="00F43330">
        <w:rPr>
          <w:color w:val="000000" w:themeColor="text1"/>
        </w:rPr>
        <w:t xml:space="preserve">); </w:t>
      </w:r>
      <w:r w:rsidRPr="00F43330">
        <w:rPr>
          <w:i/>
          <w:color w:val="000000" w:themeColor="text1"/>
        </w:rPr>
        <w:t>P. preussi</w:t>
      </w:r>
      <w:r w:rsidRPr="00F43330">
        <w:rPr>
          <w:color w:val="000000" w:themeColor="text1"/>
        </w:rPr>
        <w:t xml:space="preserve"> in </w:t>
      </w:r>
      <w:r w:rsidRPr="00F43330">
        <w:rPr>
          <w:noProof/>
          <w:color w:val="000000" w:themeColor="text1"/>
        </w:rPr>
        <w:t xml:space="preserve">Butynski &amp; Kingdon (2013); </w:t>
      </w:r>
      <w:r w:rsidRPr="00F43330">
        <w:rPr>
          <w:i/>
          <w:noProof/>
          <w:color w:val="000000" w:themeColor="text1"/>
        </w:rPr>
        <w:t xml:space="preserve">P. </w:t>
      </w:r>
      <w:r w:rsidRPr="00F43330">
        <w:rPr>
          <w:i/>
          <w:color w:val="000000" w:themeColor="text1"/>
        </w:rPr>
        <w:t>rufomitratus,</w:t>
      </w:r>
      <w:r w:rsidRPr="00F43330">
        <w:rPr>
          <w:color w:val="000000" w:themeColor="text1"/>
        </w:rPr>
        <w:t xml:space="preserve"> </w:t>
      </w:r>
      <w:r w:rsidRPr="00F43330">
        <w:rPr>
          <w:i/>
          <w:color w:val="000000" w:themeColor="text1"/>
        </w:rPr>
        <w:t>P. epieni, P. tholloni, P. oustaleti, P. parmentieri, P. tephrosceles</w:t>
      </w:r>
      <w:r w:rsidRPr="00F43330">
        <w:rPr>
          <w:color w:val="000000" w:themeColor="text1"/>
        </w:rPr>
        <w:t xml:space="preserve"> in </w:t>
      </w:r>
      <w:r w:rsidRPr="00F43330">
        <w:rPr>
          <w:noProof/>
          <w:color w:val="000000" w:themeColor="text1"/>
        </w:rPr>
        <w:t xml:space="preserve">Struhsaker &amp; Grubb (2013); </w:t>
      </w:r>
      <w:r w:rsidRPr="00F43330">
        <w:rPr>
          <w:i/>
          <w:noProof/>
          <w:color w:val="000000" w:themeColor="text1"/>
        </w:rPr>
        <w:t xml:space="preserve">P. </w:t>
      </w:r>
      <w:r w:rsidRPr="00F43330">
        <w:rPr>
          <w:i/>
          <w:color w:val="000000" w:themeColor="text1"/>
        </w:rPr>
        <w:t>kirkii</w:t>
      </w:r>
      <w:r w:rsidRPr="00F43330">
        <w:rPr>
          <w:color w:val="000000" w:themeColor="text1"/>
        </w:rPr>
        <w:t xml:space="preserve"> in </w:t>
      </w:r>
      <w:r w:rsidRPr="00F43330">
        <w:rPr>
          <w:noProof/>
          <w:color w:val="000000" w:themeColor="text1"/>
        </w:rPr>
        <w:t xml:space="preserve">Siex &amp; Struhsaker (2013); </w:t>
      </w:r>
      <w:r w:rsidRPr="00F43330">
        <w:rPr>
          <w:i/>
          <w:noProof/>
          <w:color w:val="000000" w:themeColor="text1"/>
        </w:rPr>
        <w:t>P. gordonorum</w:t>
      </w:r>
      <w:r w:rsidRPr="00F43330">
        <w:rPr>
          <w:noProof/>
          <w:color w:val="000000" w:themeColor="text1"/>
        </w:rPr>
        <w:t xml:space="preserve"> in Struhsaker et al. (2013</w:t>
      </w:r>
      <w:r w:rsidRPr="00F43330">
        <w:rPr>
          <w:color w:val="000000" w:themeColor="text1"/>
        </w:rPr>
        <w:t>)</w:t>
      </w:r>
      <w:r w:rsidRPr="00F43330">
        <w:rPr>
          <w:noProof/>
          <w:color w:val="000000" w:themeColor="text1"/>
        </w:rPr>
        <w:t xml:space="preserve">. </w:t>
      </w:r>
      <w:r w:rsidRPr="00F43330">
        <w:rPr>
          <w:color w:val="000000" w:themeColor="text1"/>
        </w:rPr>
        <w:t xml:space="preserve">Notes: </w:t>
      </w:r>
      <w:r w:rsidRPr="00F43330">
        <w:rPr>
          <w:color w:val="000000" w:themeColor="text1"/>
          <w:vertAlign w:val="superscript"/>
        </w:rPr>
        <w:t>1</w:t>
      </w:r>
      <w:r w:rsidRPr="00F43330">
        <w:rPr>
          <w:color w:val="000000" w:themeColor="text1"/>
        </w:rPr>
        <w:t xml:space="preserve"> Werre (2000).</w:t>
      </w:r>
    </w:p>
    <w:p w:rsidR="003A3D0C" w:rsidRPr="005F2373" w:rsidRDefault="003A3D0C" w:rsidP="003A3D0C">
      <w:pPr>
        <w:widowControl w:val="0"/>
        <w:autoSpaceDE w:val="0"/>
        <w:autoSpaceDN w:val="0"/>
        <w:adjustRightInd w:val="0"/>
        <w:ind w:right="1213"/>
        <w:rPr>
          <w:i/>
        </w:rPr>
      </w:pPr>
    </w:p>
    <w:p w:rsidR="003A3D0C" w:rsidRPr="005F2373" w:rsidRDefault="003A3D0C" w:rsidP="003A3D0C">
      <w:pPr>
        <w:rPr>
          <w:i/>
        </w:rPr>
      </w:pPr>
      <w:r w:rsidRPr="005F2373">
        <w:rPr>
          <w:i/>
        </w:rPr>
        <w:br w:type="page"/>
      </w:r>
    </w:p>
    <w:p w:rsidR="003A3D0C" w:rsidRPr="005F2373" w:rsidRDefault="003A3D0C" w:rsidP="003A3D0C">
      <w:r w:rsidRPr="005F2373">
        <w:lastRenderedPageBreak/>
        <w:t xml:space="preserve">Table </w:t>
      </w:r>
      <w:r>
        <w:t>9.</w:t>
      </w:r>
      <w:r w:rsidRPr="005F2373">
        <w:t>3: Diet of red colobus species across their range based on studies of at least 8 months</w:t>
      </w:r>
    </w:p>
    <w:tbl>
      <w:tblPr>
        <w:tblW w:w="14063" w:type="dxa"/>
        <w:tblInd w:w="93" w:type="dxa"/>
        <w:tblLayout w:type="fixed"/>
        <w:tblLook w:val="04A0" w:firstRow="1" w:lastRow="0" w:firstColumn="1" w:lastColumn="0" w:noHBand="0" w:noVBand="1"/>
      </w:tblPr>
      <w:tblGrid>
        <w:gridCol w:w="2945"/>
        <w:gridCol w:w="1465"/>
        <w:gridCol w:w="935"/>
        <w:gridCol w:w="921"/>
        <w:gridCol w:w="922"/>
        <w:gridCol w:w="921"/>
        <w:gridCol w:w="921"/>
        <w:gridCol w:w="922"/>
        <w:gridCol w:w="921"/>
        <w:gridCol w:w="922"/>
        <w:gridCol w:w="851"/>
        <w:gridCol w:w="1417"/>
      </w:tblGrid>
      <w:tr w:rsidR="003A3D0C" w:rsidRPr="005F2373" w:rsidTr="005348CA">
        <w:trPr>
          <w:trHeight w:val="300"/>
          <w:tblHeader/>
        </w:trPr>
        <w:tc>
          <w:tcPr>
            <w:tcW w:w="2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b/>
                <w:bCs/>
                <w:sz w:val="20"/>
                <w:szCs w:val="20"/>
              </w:rPr>
            </w:pPr>
            <w:r w:rsidRPr="005F2373">
              <w:rPr>
                <w:b/>
                <w:bCs/>
                <w:sz w:val="20"/>
                <w:szCs w:val="20"/>
              </w:rPr>
              <w:t>Location</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3A3D0C" w:rsidRPr="005F2373" w:rsidRDefault="003A3D0C" w:rsidP="005348CA">
            <w:pPr>
              <w:rPr>
                <w:b/>
                <w:bCs/>
                <w:sz w:val="20"/>
                <w:szCs w:val="20"/>
              </w:rPr>
            </w:pPr>
            <w:r w:rsidRPr="005F2373">
              <w:rPr>
                <w:b/>
                <w:bCs/>
                <w:sz w:val="20"/>
                <w:szCs w:val="20"/>
              </w:rPr>
              <w:t>Species</w:t>
            </w:r>
          </w:p>
        </w:tc>
        <w:tc>
          <w:tcPr>
            <w:tcW w:w="935"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TL</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YL</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ML</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FR</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(SD)</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FRTTot</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FL</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OT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A3D0C" w:rsidRPr="005F2373" w:rsidRDefault="003A3D0C" w:rsidP="005348CA">
            <w:pPr>
              <w:rPr>
                <w:b/>
                <w:bCs/>
                <w:sz w:val="20"/>
                <w:szCs w:val="20"/>
              </w:rPr>
            </w:pPr>
            <w:r w:rsidRPr="005F2373">
              <w:rPr>
                <w:b/>
                <w:bCs/>
                <w:sz w:val="20"/>
                <w:szCs w:val="20"/>
              </w:rPr>
              <w:t>Ref</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study period</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Pr>
                <w:sz w:val="20"/>
                <w:szCs w:val="20"/>
              </w:rPr>
              <w:t>Taï</w:t>
            </w:r>
            <w:r w:rsidRPr="005F2373">
              <w:rPr>
                <w:sz w:val="20"/>
                <w:szCs w:val="20"/>
              </w:rPr>
              <w:t xml:space="preserve"> NP</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badius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49.6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46</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28.8</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28.8</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19.5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2.1</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A</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1990s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Tiwai</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badius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51.9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31.7</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20.2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25.3</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31.2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16.1</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0.8</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B</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1980s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Salongo</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tholloni</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60.7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54.3</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37.9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37.9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C</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1990s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Mchelelo 70s</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66.2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52.4</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11.5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24.1</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0.9</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D</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1970s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Mchelelo 80s</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63.4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61.2</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21.7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21.7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13.3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E</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1980s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Baomo South 80s</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47.2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45.9</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1.3</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25.6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25.6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26.7</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0.5</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E</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1980s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Forest</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64.5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50.6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F</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1980s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shambas</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70</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64.2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23.5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23.5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F</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1980s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Forest</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68.1</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50.7</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23.7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25.5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w:t>
            </w:r>
          </w:p>
        </w:tc>
        <w:tc>
          <w:tcPr>
            <w:tcW w:w="1417"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1999</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shambas</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54.9</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0.8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5.1</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0.1</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1999</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Kiwengwa</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60.3</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48.2</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4.7</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27.7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11.8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0.2</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2003-2006</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Uzi</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66.9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61.4</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0</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23.2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24.5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1.2</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2003-2006</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Gombe</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78.5</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37.3</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44.1</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11.4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0</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11.4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9.7</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0.4</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I</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Jan69-Jun70</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Gombe</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72.2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24.6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24.6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3.2</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J</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1990s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Kibale Kanyawara K30</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68.2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45.6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12.3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9.9</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L</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1970s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camp</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86.9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55.8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13.3</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A3D0C" w:rsidRPr="005F2373" w:rsidRDefault="003A3D0C" w:rsidP="005348CA">
            <w:pPr>
              <w:rPr>
                <w:sz w:val="20"/>
                <w:szCs w:val="20"/>
              </w:rPr>
            </w:pPr>
            <w:r w:rsidRPr="005F2373">
              <w:rPr>
                <w:sz w:val="20"/>
                <w:szCs w:val="20"/>
              </w:rPr>
              <w:t>L</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Aug94-Jul95</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camp</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86.0</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58.8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10.2</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A3D0C" w:rsidRPr="005F2373" w:rsidRDefault="003A3D0C" w:rsidP="005348CA">
            <w:pPr>
              <w:rPr>
                <w:sz w:val="20"/>
                <w:szCs w:val="20"/>
              </w:rPr>
            </w:pPr>
            <w:r w:rsidRPr="005F2373">
              <w:rPr>
                <w:sz w:val="20"/>
                <w:szCs w:val="20"/>
              </w:rPr>
              <w:t>L</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Aug95-Jul96</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camp</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71.9</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7.9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851" w:type="dxa"/>
            <w:tcBorders>
              <w:top w:val="nil"/>
              <w:left w:val="nil"/>
              <w:bottom w:val="single" w:sz="4" w:space="0" w:color="auto"/>
              <w:right w:val="single" w:sz="4" w:space="0" w:color="auto"/>
            </w:tcBorders>
            <w:shd w:val="clear" w:color="auto" w:fill="auto"/>
            <w:noWrap/>
            <w:hideMark/>
          </w:tcPr>
          <w:p w:rsidR="003A3D0C" w:rsidRPr="005F2373" w:rsidRDefault="003A3D0C" w:rsidP="005348CA">
            <w:pPr>
              <w:rPr>
                <w:sz w:val="20"/>
                <w:szCs w:val="20"/>
              </w:rPr>
            </w:pPr>
            <w:r w:rsidRPr="005F2373">
              <w:rPr>
                <w:sz w:val="20"/>
                <w:szCs w:val="20"/>
              </w:rPr>
              <w:t>L</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Aug96-Jul97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camp</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89.2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75.8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6.6</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w:t>
            </w:r>
          </w:p>
        </w:tc>
        <w:tc>
          <w:tcPr>
            <w:tcW w:w="851" w:type="dxa"/>
            <w:tcBorders>
              <w:top w:val="nil"/>
              <w:left w:val="nil"/>
              <w:bottom w:val="single" w:sz="4" w:space="0" w:color="auto"/>
              <w:right w:val="single" w:sz="4" w:space="0" w:color="auto"/>
            </w:tcBorders>
            <w:shd w:val="clear" w:color="auto" w:fill="auto"/>
            <w:noWrap/>
            <w:hideMark/>
          </w:tcPr>
          <w:p w:rsidR="003A3D0C" w:rsidRPr="005F2373" w:rsidRDefault="003A3D0C" w:rsidP="005348CA">
            <w:pPr>
              <w:rPr>
                <w:sz w:val="20"/>
                <w:szCs w:val="20"/>
              </w:rPr>
            </w:pPr>
            <w:r w:rsidRPr="005F2373">
              <w:rPr>
                <w:sz w:val="20"/>
                <w:szCs w:val="20"/>
              </w:rPr>
              <w:t>L</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Aug98-Jul99</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Sebatoli, Kibale, Uganda</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86.9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79.5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3.4</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Jul96-Jun97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K30,Kanyawara, Kibale</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71.8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Jul96-Jun97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Dura, Kibale</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78.4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73.8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Jul96-Jun97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Mainaro, Kibale</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75.5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59.3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16.2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6.5</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Jul96-Jun97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Big</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89.1</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83.5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0.8</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N1</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Jul98-Jun99</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K30, Kanyawara, small</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83.8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70.5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0.8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6.5</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N2</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Jul98-Jun99</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Mikana is part of K14</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93.6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91.6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1.2</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N</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Jul99-May00</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Nkuruba, fragments</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88.8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70.4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18.4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N</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Aug99-Apr00</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lastRenderedPageBreak/>
              <w:t>K15 Kanyawara, Kibale</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72.4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69.8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2.6</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17.2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17.2</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2.3</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O</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Jul94-Jul97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Kahunga Kibale NP</w:t>
            </w:r>
          </w:p>
        </w:tc>
        <w:tc>
          <w:tcPr>
            <w:tcW w:w="146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i/>
                <w:sz w:val="20"/>
                <w:szCs w:val="20"/>
              </w:rPr>
              <w:t>tephrosceles</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69.8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48.8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21</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22.7</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4.4</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O</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Jul95-Jun96</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Abuko NR</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temminckii</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46.9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34.9</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11.4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38.8</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2.9</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41.7</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8.6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2.8</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P</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1978-83</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Fathala</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temminckii</w:t>
            </w:r>
          </w:p>
        </w:tc>
        <w:tc>
          <w:tcPr>
            <w:tcW w:w="93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48</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42.6</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5.4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17.4</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18.5</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35.9</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8.7</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7.4</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Q</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1970s</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Fathala</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temminckii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76.4</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70.1</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6.3</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18.8</w:t>
            </w:r>
          </w:p>
        </w:tc>
        <w:tc>
          <w:tcPr>
            <w:tcW w:w="92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 </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4.8</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R</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1994-1996</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Magombera, Mwanihana (Udz)</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gordonorum</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70.8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48.2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15.5</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5.3</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13.5</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18.8</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4.4</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S</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2009-2010</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Gbanraum, Niger Delta</w:t>
            </w:r>
          </w:p>
        </w:tc>
        <w:tc>
          <w:tcPr>
            <w:tcW w:w="1465"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epieni</w:t>
            </w:r>
          </w:p>
        </w:tc>
        <w:tc>
          <w:tcPr>
            <w:tcW w:w="93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73.7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56.8</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4.7</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4.0</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10.2</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14.1</w:t>
            </w:r>
          </w:p>
        </w:tc>
        <w:tc>
          <w:tcPr>
            <w:tcW w:w="92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9.6</w:t>
            </w:r>
          </w:p>
        </w:tc>
        <w:tc>
          <w:tcPr>
            <w:tcW w:w="92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2.6</w:t>
            </w:r>
          </w:p>
        </w:tc>
        <w:tc>
          <w:tcPr>
            <w:tcW w:w="851"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w:t>
            </w:r>
          </w:p>
        </w:tc>
        <w:tc>
          <w:tcPr>
            <w:tcW w:w="141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Sep96-Aug97</w:t>
            </w:r>
          </w:p>
        </w:tc>
      </w:tr>
      <w:tr w:rsidR="003A3D0C" w:rsidRPr="005F2373" w:rsidTr="005348CA">
        <w:trPr>
          <w:trHeight w:val="300"/>
        </w:trPr>
        <w:tc>
          <w:tcPr>
            <w:tcW w:w="2945"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sz w:val="20"/>
                <w:szCs w:val="20"/>
              </w:rPr>
            </w:pPr>
            <w:r w:rsidRPr="005F2373">
              <w:rPr>
                <w:sz w:val="20"/>
                <w:szCs w:val="20"/>
                <w:lang w:eastAsia="en-US"/>
              </w:rPr>
              <w:t>Korup NP</w:t>
            </w:r>
          </w:p>
        </w:tc>
        <w:tc>
          <w:tcPr>
            <w:tcW w:w="1465" w:type="dxa"/>
            <w:tcBorders>
              <w:top w:val="nil"/>
              <w:left w:val="nil"/>
              <w:bottom w:val="single" w:sz="4" w:space="0" w:color="auto"/>
              <w:right w:val="single" w:sz="4" w:space="0" w:color="auto"/>
            </w:tcBorders>
            <w:shd w:val="clear" w:color="auto" w:fill="auto"/>
            <w:vAlign w:val="center"/>
          </w:tcPr>
          <w:p w:rsidR="003A3D0C" w:rsidRPr="005F2373" w:rsidRDefault="003A3D0C" w:rsidP="005348CA">
            <w:pPr>
              <w:rPr>
                <w:i/>
                <w:iCs/>
                <w:sz w:val="20"/>
                <w:szCs w:val="20"/>
              </w:rPr>
            </w:pPr>
            <w:r w:rsidRPr="005F2373">
              <w:rPr>
                <w:i/>
                <w:iCs/>
                <w:sz w:val="20"/>
                <w:szCs w:val="20"/>
                <w:lang w:eastAsia="en-US"/>
              </w:rPr>
              <w:t>preussi</w:t>
            </w:r>
          </w:p>
        </w:tc>
        <w:tc>
          <w:tcPr>
            <w:tcW w:w="93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88.91</w:t>
            </w:r>
          </w:p>
        </w:tc>
        <w:tc>
          <w:tcPr>
            <w:tcW w:w="92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88.91</w:t>
            </w:r>
          </w:p>
        </w:tc>
        <w:tc>
          <w:tcPr>
            <w:tcW w:w="92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0</w:t>
            </w:r>
          </w:p>
        </w:tc>
        <w:tc>
          <w:tcPr>
            <w:tcW w:w="92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0.87</w:t>
            </w:r>
          </w:p>
        </w:tc>
        <w:tc>
          <w:tcPr>
            <w:tcW w:w="92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p>
        </w:tc>
        <w:tc>
          <w:tcPr>
            <w:tcW w:w="92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0.87</w:t>
            </w:r>
          </w:p>
        </w:tc>
        <w:tc>
          <w:tcPr>
            <w:tcW w:w="92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10.2</w:t>
            </w:r>
          </w:p>
        </w:tc>
        <w:tc>
          <w:tcPr>
            <w:tcW w:w="92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p>
        </w:tc>
        <w:tc>
          <w:tcPr>
            <w:tcW w:w="851" w:type="dxa"/>
            <w:tcBorders>
              <w:top w:val="nil"/>
              <w:left w:val="nil"/>
              <w:bottom w:val="single" w:sz="4" w:space="0" w:color="auto"/>
              <w:right w:val="single" w:sz="4" w:space="0" w:color="auto"/>
            </w:tcBorders>
            <w:shd w:val="clear" w:color="auto" w:fill="auto"/>
            <w:vAlign w:val="center"/>
          </w:tcPr>
          <w:p w:rsidR="003A3D0C" w:rsidRPr="005F2373" w:rsidRDefault="003A3D0C" w:rsidP="005348CA">
            <w:pPr>
              <w:rPr>
                <w:sz w:val="20"/>
                <w:szCs w:val="20"/>
              </w:rPr>
            </w:pPr>
            <w:r w:rsidRPr="005F2373">
              <w:rPr>
                <w:sz w:val="20"/>
                <w:szCs w:val="20"/>
              </w:rPr>
              <w:t>U</w:t>
            </w:r>
          </w:p>
        </w:tc>
        <w:tc>
          <w:tcPr>
            <w:tcW w:w="141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1991-1993</w:t>
            </w:r>
          </w:p>
        </w:tc>
      </w:tr>
    </w:tbl>
    <w:p w:rsidR="003A3D0C" w:rsidRPr="005F2373" w:rsidRDefault="003A3D0C" w:rsidP="003A3D0C"/>
    <w:p w:rsidR="003A3D0C" w:rsidRPr="005F2373" w:rsidRDefault="003A3D0C" w:rsidP="003A3D0C">
      <w:pPr>
        <w:rPr>
          <w:sz w:val="22"/>
          <w:szCs w:val="22"/>
        </w:rPr>
      </w:pPr>
      <w:r w:rsidRPr="005F2373">
        <w:rPr>
          <w:sz w:val="22"/>
          <w:szCs w:val="22"/>
        </w:rPr>
        <w:t>TL= total leaf matter including various non-vegetative plant parts (incl. petioles, stems, herbs, pith if those were provided) and YL and ML; YL=</w:t>
      </w:r>
      <w:r>
        <w:rPr>
          <w:sz w:val="22"/>
          <w:szCs w:val="22"/>
        </w:rPr>
        <w:t xml:space="preserve"> </w:t>
      </w:r>
      <w:r w:rsidRPr="005F2373">
        <w:rPr>
          <w:sz w:val="22"/>
          <w:szCs w:val="22"/>
        </w:rPr>
        <w:t>young leaf, including leaf buds, young petioles and undetermined buds; ML=</w:t>
      </w:r>
      <w:r>
        <w:rPr>
          <w:sz w:val="22"/>
          <w:szCs w:val="22"/>
        </w:rPr>
        <w:t xml:space="preserve"> </w:t>
      </w:r>
      <w:r w:rsidRPr="005F2373">
        <w:rPr>
          <w:sz w:val="22"/>
          <w:szCs w:val="22"/>
        </w:rPr>
        <w:t>mature leaf is restricted to recorded mature leaf; FR</w:t>
      </w:r>
      <w:r>
        <w:rPr>
          <w:sz w:val="22"/>
          <w:szCs w:val="22"/>
        </w:rPr>
        <w:t xml:space="preserve"> </w:t>
      </w:r>
      <w:r w:rsidRPr="005F2373">
        <w:rPr>
          <w:sz w:val="22"/>
          <w:szCs w:val="22"/>
        </w:rPr>
        <w:t>=</w:t>
      </w:r>
      <w:r>
        <w:rPr>
          <w:sz w:val="22"/>
          <w:szCs w:val="22"/>
        </w:rPr>
        <w:t xml:space="preserve"> </w:t>
      </w:r>
      <w:r w:rsidRPr="005F2373">
        <w:rPr>
          <w:sz w:val="22"/>
          <w:szCs w:val="22"/>
        </w:rPr>
        <w:t>fruit pulp (if different from Fruit total) or situations in which fruit is consumed whole; (SD)</w:t>
      </w:r>
      <w:r>
        <w:rPr>
          <w:sz w:val="22"/>
          <w:szCs w:val="22"/>
        </w:rPr>
        <w:t xml:space="preserve"> </w:t>
      </w:r>
      <w:r w:rsidRPr="005F2373">
        <w:rPr>
          <w:sz w:val="22"/>
          <w:szCs w:val="22"/>
        </w:rPr>
        <w:t>= seeds if these were identified separately from consumed fruit, typically, this was the case when only the seed is consumed and there is no fruit pulp or it is discarded; FL=</w:t>
      </w:r>
      <w:r>
        <w:rPr>
          <w:sz w:val="22"/>
          <w:szCs w:val="22"/>
        </w:rPr>
        <w:t xml:space="preserve"> </w:t>
      </w:r>
      <w:r w:rsidRPr="005F2373">
        <w:rPr>
          <w:sz w:val="22"/>
          <w:szCs w:val="22"/>
        </w:rPr>
        <w:t>flowers including flowerbuds; OT</w:t>
      </w:r>
      <w:r>
        <w:rPr>
          <w:sz w:val="22"/>
          <w:szCs w:val="22"/>
        </w:rPr>
        <w:t xml:space="preserve"> </w:t>
      </w:r>
      <w:r w:rsidRPr="005F2373">
        <w:rPr>
          <w:sz w:val="22"/>
          <w:szCs w:val="22"/>
        </w:rPr>
        <w:t>=</w:t>
      </w:r>
      <w:r>
        <w:rPr>
          <w:sz w:val="22"/>
          <w:szCs w:val="22"/>
        </w:rPr>
        <w:t xml:space="preserve"> </w:t>
      </w:r>
      <w:r w:rsidRPr="005F2373">
        <w:rPr>
          <w:sz w:val="22"/>
          <w:szCs w:val="22"/>
        </w:rPr>
        <w:t>other; Ref</w:t>
      </w:r>
      <w:r>
        <w:rPr>
          <w:sz w:val="22"/>
          <w:szCs w:val="22"/>
        </w:rPr>
        <w:t xml:space="preserve"> </w:t>
      </w:r>
      <w:r w:rsidRPr="005F2373">
        <w:rPr>
          <w:sz w:val="22"/>
          <w:szCs w:val="22"/>
        </w:rPr>
        <w:t>=</w:t>
      </w:r>
      <w:r>
        <w:rPr>
          <w:sz w:val="22"/>
          <w:szCs w:val="22"/>
        </w:rPr>
        <w:t xml:space="preserve"> </w:t>
      </w:r>
      <w:r w:rsidRPr="005F2373">
        <w:rPr>
          <w:sz w:val="22"/>
          <w:szCs w:val="22"/>
        </w:rPr>
        <w:t xml:space="preserve">References: A. Korstjens &amp; Dunbar (2007); B. Davies </w:t>
      </w:r>
      <w:r w:rsidRPr="005F2373">
        <w:rPr>
          <w:i/>
          <w:sz w:val="22"/>
          <w:szCs w:val="22"/>
        </w:rPr>
        <w:t>et al.</w:t>
      </w:r>
      <w:r w:rsidRPr="005F2373">
        <w:rPr>
          <w:sz w:val="22"/>
          <w:szCs w:val="22"/>
        </w:rPr>
        <w:t xml:space="preserve"> (1999), Oates (1994); C. Maisels et al (1994); Marsh (1981); E. Decker (1994); F. Mturi (1991) cited in Struhsaker (2010) average of 2 groups; F. Siex (2003); H. Nowak (2007) p335; I. Clutton-Brock (1975); J. Stanford (1998) p111 (read off graph); K. Struhsaker (2010) average of two study groups; L. Chapman </w:t>
      </w:r>
      <w:r w:rsidRPr="005F2373">
        <w:rPr>
          <w:i/>
          <w:sz w:val="22"/>
          <w:szCs w:val="22"/>
        </w:rPr>
        <w:t>et al.</w:t>
      </w:r>
      <w:r w:rsidRPr="005F2373">
        <w:rPr>
          <w:sz w:val="22"/>
          <w:szCs w:val="22"/>
        </w:rPr>
        <w:t xml:space="preserve"> (2002b); M. Chapman &amp; Chapman, (2000a); N. Rode </w:t>
      </w:r>
      <w:r w:rsidRPr="005F2373">
        <w:rPr>
          <w:i/>
          <w:sz w:val="22"/>
          <w:szCs w:val="22"/>
        </w:rPr>
        <w:t>et al.</w:t>
      </w:r>
      <w:r w:rsidRPr="005F2373">
        <w:rPr>
          <w:sz w:val="22"/>
          <w:szCs w:val="22"/>
        </w:rPr>
        <w:t xml:space="preserve"> (2003), N1=large group (n=48), N2=small group (n=24); O. Chapman &amp; Chapman (1999); P. Starin (1991) and Oates (1994); Q. Gatinot (1977, 1978); R. Diouck (1999); S. Steel (2012), Udz=Udzungwa; T. Werre (2000); U. Usongo &amp; Amubode (2001).</w:t>
      </w:r>
    </w:p>
    <w:p w:rsidR="003A3D0C" w:rsidRPr="005F2373" w:rsidRDefault="003A3D0C" w:rsidP="003A3D0C">
      <w:pPr>
        <w:widowControl w:val="0"/>
        <w:autoSpaceDE w:val="0"/>
        <w:autoSpaceDN w:val="0"/>
        <w:adjustRightInd w:val="0"/>
        <w:rPr>
          <w:i/>
        </w:rPr>
      </w:pPr>
      <w:r w:rsidRPr="005F2373">
        <w:rPr>
          <w:i/>
        </w:rPr>
        <w:br w:type="page"/>
      </w:r>
      <w:r w:rsidRPr="005F2373">
        <w:rPr>
          <w:i/>
        </w:rPr>
        <w:lastRenderedPageBreak/>
        <w:t xml:space="preserve">Table </w:t>
      </w:r>
      <w:r>
        <w:rPr>
          <w:i/>
        </w:rPr>
        <w:t>9.</w:t>
      </w:r>
      <w:r w:rsidRPr="005F2373">
        <w:rPr>
          <w:i/>
        </w:rPr>
        <w:t>4. Activity budgets of red colobus studies &gt;8 months with size (Grpsz), number of adult females (AF) and males (AM) of the study groups included, feeding and foraging (feed), climbing and travelling (move), resting and inactive or autogrooming (rest) and grooming or social activities (social, for most studies this is equivalent to grooming time as they did not mention other social activities).</w:t>
      </w:r>
    </w:p>
    <w:p w:rsidR="003A3D0C" w:rsidRPr="005F2373" w:rsidRDefault="003A3D0C" w:rsidP="003A3D0C">
      <w:pPr>
        <w:rPr>
          <w:i/>
        </w:rPr>
      </w:pPr>
    </w:p>
    <w:tbl>
      <w:tblPr>
        <w:tblW w:w="13907" w:type="dxa"/>
        <w:tblInd w:w="93" w:type="dxa"/>
        <w:tblLayout w:type="fixed"/>
        <w:tblLook w:val="04A0" w:firstRow="1" w:lastRow="0" w:firstColumn="1" w:lastColumn="0" w:noHBand="0" w:noVBand="1"/>
      </w:tblPr>
      <w:tblGrid>
        <w:gridCol w:w="2850"/>
        <w:gridCol w:w="1418"/>
        <w:gridCol w:w="932"/>
        <w:gridCol w:w="932"/>
        <w:gridCol w:w="932"/>
        <w:gridCol w:w="932"/>
        <w:gridCol w:w="932"/>
        <w:gridCol w:w="932"/>
        <w:gridCol w:w="933"/>
        <w:gridCol w:w="3114"/>
      </w:tblGrid>
      <w:tr w:rsidR="003A3D0C" w:rsidRPr="005F2373" w:rsidTr="005348CA">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Site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Species</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Grpsz</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AF</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AM</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Feed</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Move</w:t>
            </w:r>
          </w:p>
        </w:tc>
        <w:tc>
          <w:tcPr>
            <w:tcW w:w="93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Rest</w:t>
            </w:r>
          </w:p>
        </w:tc>
        <w:tc>
          <w:tcPr>
            <w:tcW w:w="933"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Social Groom</w:t>
            </w:r>
          </w:p>
        </w:tc>
        <w:tc>
          <w:tcPr>
            <w:tcW w:w="3114"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lang w:eastAsia="en-US"/>
              </w:rPr>
            </w:pPr>
            <w:r w:rsidRPr="005F2373">
              <w:rPr>
                <w:b/>
                <w:bCs/>
                <w:sz w:val="20"/>
                <w:szCs w:val="20"/>
                <w:lang w:eastAsia="en-US"/>
              </w:rPr>
              <w:t>Reference</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Pr>
                <w:sz w:val="20"/>
                <w:szCs w:val="20"/>
                <w:lang w:eastAsia="en-US"/>
              </w:rPr>
              <w:t>Taï</w:t>
            </w:r>
            <w:r w:rsidRPr="005F2373">
              <w:rPr>
                <w:sz w:val="20"/>
                <w:szCs w:val="20"/>
                <w:lang w:eastAsia="en-US"/>
              </w:rPr>
              <w:t xml:space="preserve"> NP</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badius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52.0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18.5</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10.5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44.9</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18.9</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29.9</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6.3</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Korstjens &amp; Dunbar (2007)</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Tiwai</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badius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33.0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13.0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7.0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37.0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55.0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3.0</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xml:space="preserve">Davies </w:t>
            </w:r>
            <w:r w:rsidRPr="005F2373">
              <w:rPr>
                <w:i/>
                <w:sz w:val="20"/>
                <w:szCs w:val="20"/>
              </w:rPr>
              <w:t xml:space="preserve">et al. </w:t>
            </w:r>
            <w:r w:rsidRPr="005F2373">
              <w:rPr>
                <w:sz w:val="20"/>
                <w:szCs w:val="20"/>
                <w:lang w:eastAsia="en-US"/>
              </w:rPr>
              <w:t>(1999)</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Tana River Mchelelo 70s</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ruformitratus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21.5</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16.0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31.5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6.4</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57.3</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2.9</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Marsh (1981)</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Tana River Mchelelo 80s</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ruformitratus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9.7</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4.0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28.6</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21.5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48.0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0.2</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Decker (1994)</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Tana River Baomo S 80s</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ruformitratus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23.5</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11.3</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23.3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24.4</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50.0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0.2</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Decker (1994)</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Abuko</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temminckii</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26.2</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10.8</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2.0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21.3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12.5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52.1</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12.6</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Starin (1991)</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Magombera, Mwanihana (Udz)</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gordonorum</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38.3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19.0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25.3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12.3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58.0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3.3</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Steel (2012)</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Gombe</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23.0</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11.2</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6.0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29.1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13.1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48.2</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10.1</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Stanford (1998)</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Kanyawara K30 70s</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23.9</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9.2</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44.8</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9.1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34.6</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4.5</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Struhsaker (2010) p220</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Ngogo</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31.8</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11.3</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6.25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32.0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8.7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35.6</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7.3</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Struhsaker (2010) p220</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Gombe</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82</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24</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25.0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8.0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54.0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5.5</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Clutton-Brock (1974)</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Kanyawara K14,K30</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67.2</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30.875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9.4</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52.575</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5.6</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vertAlign w:val="superscript"/>
                <w:lang w:eastAsia="en-US"/>
              </w:rPr>
            </w:pPr>
            <w:r w:rsidRPr="005F2373">
              <w:rPr>
                <w:sz w:val="20"/>
                <w:szCs w:val="20"/>
                <w:lang w:eastAsia="en-US"/>
              </w:rPr>
              <w:t>Isbell (2012)</w:t>
            </w:r>
            <w:r w:rsidRPr="005F2373">
              <w:rPr>
                <w:sz w:val="20"/>
                <w:szCs w:val="20"/>
                <w:vertAlign w:val="superscript"/>
                <w:lang w:eastAsia="en-US"/>
              </w:rPr>
              <w:t>1</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NP logged 1</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57 to 98</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 </w:t>
            </w:r>
          </w:p>
        </w:tc>
        <w:tc>
          <w:tcPr>
            <w:tcW w:w="932"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 </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45.8</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7.9</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37.7</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6.4</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xml:space="preserve">Gogarten </w:t>
            </w:r>
            <w:r w:rsidRPr="005F2373">
              <w:rPr>
                <w:i/>
                <w:sz w:val="20"/>
                <w:szCs w:val="20"/>
              </w:rPr>
              <w:t xml:space="preserve">et al. </w:t>
            </w:r>
            <w:r w:rsidRPr="005F2373">
              <w:rPr>
                <w:sz w:val="20"/>
                <w:szCs w:val="20"/>
                <w:lang w:eastAsia="en-US"/>
              </w:rPr>
              <w:t>(2014)</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Zanzibar, Jozani Forest</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kirkii</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10.1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2.47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28.7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12.1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47.3</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5.3</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Siex (2003)</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Zanzibar, Jozani shambas</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kirkii</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37.5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14.9</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28.6</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43.8</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8.3</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Siex (2003)</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NP logged</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44</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18</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46.0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14.0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36.0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4.0</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xml:space="preserve">Milich </w:t>
            </w:r>
            <w:r w:rsidRPr="005F2373">
              <w:rPr>
                <w:i/>
                <w:sz w:val="20"/>
                <w:szCs w:val="20"/>
              </w:rPr>
              <w:t xml:space="preserve">et al. </w:t>
            </w:r>
            <w:r w:rsidRPr="005F2373">
              <w:rPr>
                <w:sz w:val="20"/>
                <w:szCs w:val="20"/>
                <w:lang w:eastAsia="en-US"/>
              </w:rPr>
              <w:t>(2014b)</w:t>
            </w:r>
            <w:r w:rsidRPr="005F2373">
              <w:rPr>
                <w:sz w:val="20"/>
                <w:szCs w:val="20"/>
                <w:vertAlign w:val="superscript"/>
                <w:lang w:eastAsia="en-US"/>
              </w:rPr>
              <w:t>2</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Kibale NP oldgrowth</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tephrosceles</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53.5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18.5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35.0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18.0</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41.0</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6.0</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 xml:space="preserve">Milich </w:t>
            </w:r>
            <w:r w:rsidRPr="005F2373">
              <w:rPr>
                <w:i/>
                <w:sz w:val="20"/>
                <w:szCs w:val="20"/>
              </w:rPr>
              <w:t xml:space="preserve">et al. </w:t>
            </w:r>
            <w:r w:rsidRPr="005F2373">
              <w:rPr>
                <w:sz w:val="20"/>
                <w:szCs w:val="20"/>
                <w:lang w:eastAsia="en-US"/>
              </w:rPr>
              <w:t>(2014b)</w:t>
            </w:r>
            <w:r w:rsidRPr="005F2373">
              <w:rPr>
                <w:sz w:val="20"/>
                <w:szCs w:val="20"/>
                <w:vertAlign w:val="superscript"/>
                <w:lang w:eastAsia="en-US"/>
              </w:rPr>
              <w:t>2</w:t>
            </w:r>
          </w:p>
        </w:tc>
      </w:tr>
      <w:tr w:rsidR="003A3D0C" w:rsidRPr="005F2373" w:rsidTr="005348CA">
        <w:tc>
          <w:tcPr>
            <w:tcW w:w="2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lang w:eastAsia="en-US"/>
              </w:rPr>
            </w:pPr>
            <w:r w:rsidRPr="005F2373">
              <w:rPr>
                <w:sz w:val="20"/>
                <w:szCs w:val="20"/>
                <w:lang w:eastAsia="en-US"/>
              </w:rPr>
              <w:t>Gbanraum, Niger Delta</w:t>
            </w:r>
          </w:p>
        </w:tc>
        <w:tc>
          <w:tcPr>
            <w:tcW w:w="1418" w:type="dxa"/>
            <w:tcBorders>
              <w:top w:val="nil"/>
              <w:left w:val="nil"/>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lang w:eastAsia="en-US"/>
              </w:rPr>
            </w:pPr>
            <w:r w:rsidRPr="005F2373">
              <w:rPr>
                <w:i/>
                <w:iCs/>
                <w:sz w:val="20"/>
                <w:szCs w:val="20"/>
                <w:lang w:eastAsia="en-US"/>
              </w:rPr>
              <w:t>epieni</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59.5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26</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6.5</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30.1</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31.7</w:t>
            </w:r>
          </w:p>
        </w:tc>
        <w:tc>
          <w:tcPr>
            <w:tcW w:w="93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32.5</w:t>
            </w:r>
          </w:p>
        </w:tc>
        <w:tc>
          <w:tcPr>
            <w:tcW w:w="93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5.7</w:t>
            </w:r>
          </w:p>
        </w:tc>
        <w:tc>
          <w:tcPr>
            <w:tcW w:w="311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lang w:eastAsia="en-US"/>
              </w:rPr>
            </w:pPr>
            <w:r w:rsidRPr="005F2373">
              <w:rPr>
                <w:sz w:val="20"/>
                <w:szCs w:val="20"/>
                <w:lang w:eastAsia="en-US"/>
              </w:rPr>
              <w:t>Werre (2000) p168</w:t>
            </w:r>
          </w:p>
        </w:tc>
      </w:tr>
      <w:tr w:rsidR="003A3D0C" w:rsidRPr="005F2373" w:rsidTr="005348CA">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sz w:val="20"/>
                <w:szCs w:val="20"/>
                <w:lang w:eastAsia="en-US"/>
              </w:rPr>
            </w:pPr>
            <w:r w:rsidRPr="005F2373">
              <w:rPr>
                <w:sz w:val="20"/>
                <w:szCs w:val="20"/>
                <w:lang w:eastAsia="en-US"/>
              </w:rPr>
              <w:t>Korup NP</w:t>
            </w:r>
          </w:p>
        </w:tc>
        <w:tc>
          <w:tcPr>
            <w:tcW w:w="1418" w:type="dxa"/>
            <w:tcBorders>
              <w:top w:val="single" w:sz="4" w:space="0" w:color="auto"/>
              <w:left w:val="nil"/>
              <w:bottom w:val="single" w:sz="4" w:space="0" w:color="auto"/>
              <w:right w:val="single" w:sz="4" w:space="0" w:color="auto"/>
            </w:tcBorders>
            <w:shd w:val="clear" w:color="auto" w:fill="auto"/>
            <w:vAlign w:val="center"/>
          </w:tcPr>
          <w:p w:rsidR="003A3D0C" w:rsidRPr="005F2373" w:rsidRDefault="003A3D0C" w:rsidP="005348CA">
            <w:pPr>
              <w:rPr>
                <w:i/>
                <w:iCs/>
                <w:sz w:val="20"/>
                <w:szCs w:val="20"/>
                <w:lang w:eastAsia="en-US"/>
              </w:rPr>
            </w:pPr>
            <w:r w:rsidRPr="005F2373">
              <w:rPr>
                <w:i/>
                <w:iCs/>
                <w:sz w:val="20"/>
                <w:szCs w:val="20"/>
                <w:lang w:eastAsia="en-US"/>
              </w:rPr>
              <w:t>preussi</w:t>
            </w: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variable</w:t>
            </w: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16.3</w:t>
            </w: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13.1</w:t>
            </w:r>
          </w:p>
        </w:tc>
        <w:tc>
          <w:tcPr>
            <w:tcW w:w="932"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25.7</w:t>
            </w:r>
          </w:p>
        </w:tc>
        <w:tc>
          <w:tcPr>
            <w:tcW w:w="933"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1.6</w:t>
            </w:r>
          </w:p>
        </w:tc>
        <w:tc>
          <w:tcPr>
            <w:tcW w:w="3114"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lang w:eastAsia="en-US"/>
              </w:rPr>
            </w:pPr>
            <w:r w:rsidRPr="005F2373">
              <w:rPr>
                <w:sz w:val="20"/>
                <w:szCs w:val="20"/>
                <w:lang w:eastAsia="en-US"/>
              </w:rPr>
              <w:t xml:space="preserve">Fonkwo </w:t>
            </w:r>
            <w:r w:rsidRPr="005F2373">
              <w:rPr>
                <w:i/>
                <w:sz w:val="20"/>
                <w:szCs w:val="20"/>
              </w:rPr>
              <w:t xml:space="preserve">et al. </w:t>
            </w:r>
            <w:r w:rsidRPr="005F2373">
              <w:rPr>
                <w:sz w:val="20"/>
                <w:szCs w:val="20"/>
                <w:lang w:eastAsia="en-US"/>
              </w:rPr>
              <w:t>(2015)</w:t>
            </w:r>
            <w:r w:rsidRPr="005F2373">
              <w:rPr>
                <w:sz w:val="20"/>
                <w:szCs w:val="20"/>
                <w:vertAlign w:val="superscript"/>
                <w:lang w:eastAsia="en-US"/>
              </w:rPr>
              <w:t>3</w:t>
            </w:r>
          </w:p>
        </w:tc>
      </w:tr>
    </w:tbl>
    <w:p w:rsidR="003A3D0C" w:rsidRPr="005F2373" w:rsidRDefault="003A3D0C" w:rsidP="003A3D0C">
      <w:pPr>
        <w:widowControl w:val="0"/>
        <w:autoSpaceDE w:val="0"/>
        <w:autoSpaceDN w:val="0"/>
        <w:adjustRightInd w:val="0"/>
      </w:pPr>
      <w:r w:rsidRPr="005F2373">
        <w:rPr>
          <w:sz w:val="20"/>
          <w:szCs w:val="20"/>
          <w:lang w:eastAsia="en-US"/>
        </w:rPr>
        <w:t xml:space="preserve">Notes: social time is mostly made up of grooming or entirely made up of social grooming if the study provided this information; </w:t>
      </w:r>
      <w:r w:rsidRPr="005F2373">
        <w:rPr>
          <w:sz w:val="20"/>
          <w:szCs w:val="20"/>
          <w:vertAlign w:val="superscript"/>
          <w:lang w:eastAsia="en-US"/>
        </w:rPr>
        <w:t>1</w:t>
      </w:r>
      <w:r w:rsidRPr="005F2373">
        <w:rPr>
          <w:sz w:val="20"/>
          <w:szCs w:val="20"/>
          <w:lang w:eastAsia="en-US"/>
        </w:rPr>
        <w:t xml:space="preserve">Isbell (2012): average of AM and AF activities in two forest areas; </w:t>
      </w:r>
      <w:r w:rsidRPr="005F2373">
        <w:rPr>
          <w:sz w:val="20"/>
          <w:szCs w:val="20"/>
          <w:vertAlign w:val="superscript"/>
          <w:lang w:eastAsia="en-US"/>
        </w:rPr>
        <w:t>2</w:t>
      </w:r>
      <w:r w:rsidRPr="005F2373">
        <w:rPr>
          <w:sz w:val="20"/>
          <w:szCs w:val="20"/>
          <w:lang w:eastAsia="en-US"/>
        </w:rPr>
        <w:t xml:space="preserve">Milich </w:t>
      </w:r>
      <w:r w:rsidRPr="005F2373">
        <w:rPr>
          <w:i/>
          <w:sz w:val="20"/>
          <w:szCs w:val="20"/>
          <w:lang w:eastAsia="en-US"/>
        </w:rPr>
        <w:t>et al.</w:t>
      </w:r>
      <w:r w:rsidRPr="005F2373">
        <w:rPr>
          <w:sz w:val="20"/>
          <w:szCs w:val="20"/>
          <w:lang w:eastAsia="en-US"/>
        </w:rPr>
        <w:t xml:space="preserve"> 2014: adult females only; </w:t>
      </w:r>
      <w:r w:rsidRPr="005F2373">
        <w:rPr>
          <w:sz w:val="20"/>
          <w:szCs w:val="20"/>
          <w:vertAlign w:val="superscript"/>
          <w:lang w:eastAsia="en-US"/>
        </w:rPr>
        <w:t>3</w:t>
      </w:r>
      <w:r w:rsidRPr="005F2373">
        <w:rPr>
          <w:sz w:val="20"/>
          <w:szCs w:val="20"/>
          <w:lang w:eastAsia="en-US"/>
        </w:rPr>
        <w:t xml:space="preserve">Fonkwo </w:t>
      </w:r>
      <w:r w:rsidRPr="005F2373">
        <w:rPr>
          <w:i/>
          <w:sz w:val="20"/>
          <w:szCs w:val="20"/>
          <w:lang w:eastAsia="en-US"/>
        </w:rPr>
        <w:t>et al.</w:t>
      </w:r>
      <w:r w:rsidRPr="005F2373">
        <w:rPr>
          <w:sz w:val="20"/>
          <w:szCs w:val="20"/>
          <w:lang w:eastAsia="en-US"/>
        </w:rPr>
        <w:t xml:space="preserve"> (2015) recorded behaviour using scan sampling of groups encountered along the trails so group size varies, the table shows the values obtained for adult individuals only.</w:t>
      </w:r>
    </w:p>
    <w:p w:rsidR="003A3D0C" w:rsidRPr="005F2373" w:rsidRDefault="003A3D0C" w:rsidP="003A3D0C">
      <w:pPr>
        <w:widowControl w:val="0"/>
        <w:autoSpaceDE w:val="0"/>
        <w:autoSpaceDN w:val="0"/>
        <w:adjustRightInd w:val="0"/>
      </w:pPr>
    </w:p>
    <w:p w:rsidR="003A3D0C" w:rsidRPr="005F2373" w:rsidRDefault="003A3D0C" w:rsidP="003A3D0C">
      <w:pPr>
        <w:widowControl w:val="0"/>
        <w:autoSpaceDE w:val="0"/>
        <w:autoSpaceDN w:val="0"/>
        <w:adjustRightInd w:val="0"/>
      </w:pPr>
    </w:p>
    <w:p w:rsidR="003A3D0C" w:rsidRPr="005F2373" w:rsidRDefault="003A3D0C" w:rsidP="003A3D0C">
      <w:r w:rsidRPr="005F2373">
        <w:br w:type="page"/>
      </w:r>
    </w:p>
    <w:p w:rsidR="003A3D0C" w:rsidRPr="005F2373" w:rsidRDefault="003A3D0C" w:rsidP="003A3D0C">
      <w:pPr>
        <w:widowControl w:val="0"/>
        <w:autoSpaceDE w:val="0"/>
        <w:autoSpaceDN w:val="0"/>
        <w:adjustRightInd w:val="0"/>
        <w:rPr>
          <w:i/>
        </w:rPr>
      </w:pPr>
      <w:r w:rsidRPr="005F2373">
        <w:rPr>
          <w:i/>
        </w:rPr>
        <w:lastRenderedPageBreak/>
        <w:t xml:space="preserve">Table </w:t>
      </w:r>
      <w:r>
        <w:rPr>
          <w:i/>
        </w:rPr>
        <w:t>9.</w:t>
      </w:r>
      <w:r w:rsidRPr="005F2373">
        <w:rPr>
          <w:i/>
        </w:rPr>
        <w:t xml:space="preserve">5. Ranging data from studies of &gt;8 months </w:t>
      </w:r>
    </w:p>
    <w:tbl>
      <w:tblPr>
        <w:tblW w:w="13907" w:type="dxa"/>
        <w:tblInd w:w="93" w:type="dxa"/>
        <w:tblLayout w:type="fixed"/>
        <w:tblLook w:val="04A0" w:firstRow="1" w:lastRow="0" w:firstColumn="1" w:lastColumn="0" w:noHBand="0" w:noVBand="1"/>
      </w:tblPr>
      <w:tblGrid>
        <w:gridCol w:w="3559"/>
        <w:gridCol w:w="1559"/>
        <w:gridCol w:w="851"/>
        <w:gridCol w:w="850"/>
        <w:gridCol w:w="709"/>
        <w:gridCol w:w="992"/>
        <w:gridCol w:w="5387"/>
      </w:tblGrid>
      <w:tr w:rsidR="003A3D0C" w:rsidRPr="005F2373" w:rsidTr="005348CA">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Site</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Species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b/>
                <w:bCs/>
                <w:sz w:val="20"/>
                <w:szCs w:val="20"/>
              </w:rPr>
            </w:pPr>
            <w:r w:rsidRPr="005F2373">
              <w:rPr>
                <w:b/>
                <w:bCs/>
                <w:sz w:val="20"/>
                <w:szCs w:val="20"/>
              </w:rPr>
              <w:t>Decade</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Group size</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HR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DJL (m)</w:t>
            </w: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20"/>
                <w:szCs w:val="20"/>
              </w:rPr>
            </w:pPr>
            <w:r w:rsidRPr="005F2373">
              <w:rPr>
                <w:b/>
                <w:bCs/>
                <w:sz w:val="20"/>
                <w:szCs w:val="20"/>
              </w:rPr>
              <w:t>Reference</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Pr>
                <w:sz w:val="20"/>
                <w:szCs w:val="20"/>
              </w:rPr>
              <w:t>Taï</w:t>
            </w:r>
            <w:r w:rsidRPr="005F2373">
              <w:rPr>
                <w:sz w:val="20"/>
                <w:szCs w:val="20"/>
              </w:rPr>
              <w:t xml:space="preserve"> NP</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badius 1b</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64.0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65.7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822.0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Korstjens (2001)</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Pr>
                <w:sz w:val="20"/>
                <w:szCs w:val="20"/>
              </w:rPr>
              <w:t>Taï</w:t>
            </w:r>
            <w:r w:rsidRPr="005F2373">
              <w:rPr>
                <w:sz w:val="20"/>
                <w:szCs w:val="20"/>
              </w:rPr>
              <w:t xml:space="preserve"> NP</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badius 2a</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60.0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50.3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922.0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Korstjens (2001)</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Tiwai</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badius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33.0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52.5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xml:space="preserve">Davies </w:t>
            </w:r>
            <w:r w:rsidRPr="005F2373">
              <w:rPr>
                <w:i/>
                <w:sz w:val="20"/>
                <w:szCs w:val="20"/>
              </w:rPr>
              <w:t>et al.</w:t>
            </w:r>
            <w:r w:rsidRPr="005F2373">
              <w:rPr>
                <w:sz w:val="20"/>
                <w:szCs w:val="20"/>
              </w:rPr>
              <w:t xml:space="preserve"> (1999)</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Abuko</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temminckii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1980s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26.2</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33.5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Starin (1991)</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sz w:val="20"/>
                <w:szCs w:val="20"/>
              </w:rPr>
            </w:pPr>
            <w:r w:rsidRPr="005F2373">
              <w:rPr>
                <w:sz w:val="20"/>
                <w:szCs w:val="20"/>
              </w:rPr>
              <w:t>Abuko</w:t>
            </w:r>
          </w:p>
        </w:tc>
        <w:tc>
          <w:tcPr>
            <w:tcW w:w="1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i/>
                <w:iCs/>
                <w:sz w:val="20"/>
                <w:szCs w:val="20"/>
              </w:rPr>
            </w:pPr>
            <w:r w:rsidRPr="005F2373">
              <w:rPr>
                <w:i/>
                <w:iCs/>
                <w:sz w:val="20"/>
                <w:szCs w:val="20"/>
              </w:rPr>
              <w:t>temminckii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24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4.5</w:t>
            </w: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p>
        </w:tc>
        <w:tc>
          <w:tcPr>
            <w:tcW w:w="538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Gunderson (1977) group A average of wet and dry season</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sz w:val="20"/>
                <w:szCs w:val="20"/>
              </w:rPr>
            </w:pPr>
            <w:r w:rsidRPr="005F2373">
              <w:rPr>
                <w:sz w:val="20"/>
                <w:szCs w:val="20"/>
              </w:rPr>
              <w:t>Abuko</w:t>
            </w:r>
          </w:p>
        </w:tc>
        <w:tc>
          <w:tcPr>
            <w:tcW w:w="1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i/>
                <w:iCs/>
                <w:sz w:val="20"/>
                <w:szCs w:val="20"/>
              </w:rPr>
            </w:pPr>
            <w:r w:rsidRPr="005F2373">
              <w:rPr>
                <w:i/>
                <w:iCs/>
                <w:sz w:val="20"/>
                <w:szCs w:val="20"/>
              </w:rPr>
              <w:t>temminckii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40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11.7</w:t>
            </w: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p>
        </w:tc>
        <w:tc>
          <w:tcPr>
            <w:tcW w:w="538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Gunderson (1977) group B average of wet and dry season</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sz w:val="20"/>
                <w:szCs w:val="20"/>
              </w:rPr>
            </w:pPr>
            <w:r w:rsidRPr="005F2373">
              <w:rPr>
                <w:sz w:val="20"/>
                <w:szCs w:val="20"/>
              </w:rPr>
              <w:t>Abuko</w:t>
            </w:r>
          </w:p>
        </w:tc>
        <w:tc>
          <w:tcPr>
            <w:tcW w:w="1559" w:type="dxa"/>
            <w:tcBorders>
              <w:top w:val="nil"/>
              <w:left w:val="single" w:sz="4" w:space="0" w:color="auto"/>
              <w:bottom w:val="single" w:sz="4" w:space="0" w:color="auto"/>
              <w:right w:val="single" w:sz="4" w:space="0" w:color="auto"/>
            </w:tcBorders>
            <w:shd w:val="clear" w:color="auto" w:fill="auto"/>
            <w:vAlign w:val="center"/>
          </w:tcPr>
          <w:p w:rsidR="003A3D0C" w:rsidRPr="005F2373" w:rsidRDefault="003A3D0C" w:rsidP="005348CA">
            <w:pPr>
              <w:rPr>
                <w:i/>
                <w:iCs/>
                <w:sz w:val="20"/>
                <w:szCs w:val="20"/>
              </w:rPr>
            </w:pPr>
            <w:r w:rsidRPr="005F2373">
              <w:rPr>
                <w:i/>
                <w:iCs/>
                <w:sz w:val="20"/>
                <w:szCs w:val="20"/>
              </w:rPr>
              <w:t>temminckii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38</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6.1</w:t>
            </w: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p>
        </w:tc>
        <w:tc>
          <w:tcPr>
            <w:tcW w:w="538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20"/>
                <w:szCs w:val="20"/>
              </w:rPr>
            </w:pPr>
            <w:r w:rsidRPr="005F2373">
              <w:rPr>
                <w:sz w:val="20"/>
                <w:szCs w:val="20"/>
              </w:rPr>
              <w:t>Gunderson (1977) group C average of wet and dry season</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Fathala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temminckii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31.4</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13.2</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Gatinot (1975)</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Mchelelo 70s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 M</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21.5</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603.0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Marsh (1981a)</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Mchelelo 70s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 O</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15.2</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603.0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Marsh (1981a)</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Mchelelo 80s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1980s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9.7</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11.5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531.5</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Decker (1994)</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Tana River Baomo South 80s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ruformitratus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1980s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23.5</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13.0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460.5</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Decker (1994)</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Kibale Kanyawara K30 70s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24.0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98.0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Struhsaker (2010) p222</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Kibale Kanyawara K14,K30</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1980s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67.2</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568.6</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Isbell (2012) - average of two forest areas used</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Kibale Ngogo</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31.8</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92.8</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Struhsaker (2010) p222</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Gombe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1970s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82.0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114.0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Clutton-Brock (1975)</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Gombe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tephrosceles</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23.0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75.0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 </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Stanford (1998)</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Forest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36.4</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565.3</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Siex &amp; Struhsaker (1999b); Siex 2003</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Jozani shambas</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28.5</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8.1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310.3</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Siex &amp; Struhsaker (1999b); Siex 2003 p 156 (DJL)</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Kiwengwa Coral rag forest</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2000s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12.6</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19.6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591.0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Nowak &amp; Lee (2011); Nowak (2007)</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Zanzibar Uzi Mangrove</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kirkii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2000s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22.0</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475.2</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Nowak &amp; Lee (2011); Nowak (2007)</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Magombera, Mwanihana (Udz)</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gordonorum</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2000s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38.3</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1038.4</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Steel (2014)</w:t>
            </w:r>
          </w:p>
        </w:tc>
      </w:tr>
      <w:tr w:rsidR="003A3D0C" w:rsidRPr="005F2373" w:rsidTr="005348CA">
        <w:trPr>
          <w:trHeight w:val="300"/>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20"/>
                <w:szCs w:val="20"/>
              </w:rPr>
            </w:pPr>
            <w:r w:rsidRPr="005F2373">
              <w:rPr>
                <w:sz w:val="20"/>
                <w:szCs w:val="20"/>
              </w:rPr>
              <w:t>Gbanraum, Niger Delta</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i/>
                <w:iCs/>
                <w:sz w:val="20"/>
                <w:szCs w:val="20"/>
              </w:rPr>
            </w:pPr>
            <w:r w:rsidRPr="005F2373">
              <w:rPr>
                <w:i/>
                <w:iCs/>
                <w:sz w:val="20"/>
                <w:szCs w:val="20"/>
              </w:rPr>
              <w:t>epieni</w:t>
            </w:r>
          </w:p>
        </w:tc>
        <w:tc>
          <w:tcPr>
            <w:tcW w:w="851" w:type="dxa"/>
            <w:tcBorders>
              <w:top w:val="single" w:sz="4" w:space="0" w:color="auto"/>
              <w:left w:val="nil"/>
              <w:bottom w:val="single" w:sz="4" w:space="0" w:color="auto"/>
              <w:right w:val="single" w:sz="4" w:space="0" w:color="auto"/>
            </w:tcBorders>
          </w:tcPr>
          <w:p w:rsidR="003A3D0C" w:rsidRPr="005F2373" w:rsidRDefault="003A3D0C" w:rsidP="005348CA">
            <w:pPr>
              <w:rPr>
                <w:sz w:val="20"/>
                <w:szCs w:val="20"/>
              </w:rPr>
            </w:pPr>
            <w:r w:rsidRPr="005F2373">
              <w:rPr>
                <w:sz w:val="20"/>
                <w:szCs w:val="20"/>
              </w:rPr>
              <w:t>1990s</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59.5</w:t>
            </w:r>
          </w:p>
        </w:tc>
        <w:tc>
          <w:tcPr>
            <w:tcW w:w="709"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72.8</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1040.0</w:t>
            </w:r>
          </w:p>
        </w:tc>
        <w:tc>
          <w:tcPr>
            <w:tcW w:w="538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20"/>
                <w:szCs w:val="20"/>
              </w:rPr>
            </w:pPr>
            <w:r w:rsidRPr="005F2373">
              <w:rPr>
                <w:sz w:val="20"/>
                <w:szCs w:val="20"/>
              </w:rPr>
              <w:t>Werre (2000) p168</w:t>
            </w:r>
          </w:p>
        </w:tc>
      </w:tr>
    </w:tbl>
    <w:p w:rsidR="003A3D0C" w:rsidRPr="00F43330" w:rsidRDefault="003A3D0C" w:rsidP="003A3D0C">
      <w:pPr>
        <w:widowControl w:val="0"/>
        <w:autoSpaceDE w:val="0"/>
        <w:autoSpaceDN w:val="0"/>
        <w:adjustRightInd w:val="0"/>
        <w:rPr>
          <w:color w:val="000000" w:themeColor="text1"/>
        </w:rPr>
      </w:pPr>
      <w:r w:rsidRPr="00F43330">
        <w:rPr>
          <w:color w:val="000000" w:themeColor="text1"/>
        </w:rPr>
        <w:t>Notes: HR = Home range size (ha), DJL = mean Day Journey Length. Please note that methods for estimating home range size differs widely among studies and the original sources should be consulted in any comparative studies.</w:t>
      </w:r>
    </w:p>
    <w:p w:rsidR="003A3D0C" w:rsidRPr="005F2373" w:rsidRDefault="003A3D0C" w:rsidP="003A3D0C">
      <w:pPr>
        <w:rPr>
          <w:i/>
          <w:highlight w:val="green"/>
        </w:rPr>
      </w:pPr>
      <w:r w:rsidRPr="005F2373">
        <w:rPr>
          <w:i/>
          <w:highlight w:val="green"/>
        </w:rPr>
        <w:br w:type="page"/>
      </w:r>
    </w:p>
    <w:p w:rsidR="003A3D0C" w:rsidRPr="005F2373" w:rsidRDefault="003A3D0C" w:rsidP="003A3D0C">
      <w:pPr>
        <w:widowControl w:val="0"/>
        <w:autoSpaceDE w:val="0"/>
        <w:autoSpaceDN w:val="0"/>
        <w:adjustRightInd w:val="0"/>
        <w:rPr>
          <w:i/>
        </w:rPr>
      </w:pPr>
      <w:r w:rsidRPr="005F2373">
        <w:rPr>
          <w:i/>
        </w:rPr>
        <w:lastRenderedPageBreak/>
        <w:t xml:space="preserve">Table </w:t>
      </w:r>
      <w:bookmarkStart w:id="0" w:name="_GoBack"/>
      <w:bookmarkEnd w:id="0"/>
      <w:r>
        <w:rPr>
          <w:i/>
        </w:rPr>
        <w:t>9.</w:t>
      </w:r>
      <w:r w:rsidRPr="005F2373">
        <w:rPr>
          <w:i/>
        </w:rPr>
        <w:t xml:space="preserve">6: Social organisation: group size and composition, please note that group size estimation for the large red colobus groups in dense forest is notoriously difficult and estimation of subadult sex in species without elaborate clitori is very difficult; In the table, individuals of unknown sex or unknown age-sex are not listed, please see the original publications for further information and possible constraints on the reliability of individual estimates; N=number of groups counted; Mn, Min &amp; Max are mean, minimum and maximum group size respectively; AF &amp; AM are number of adult females and males respectively; F range and M range gives the minimum and maximum number of adult females and males in the group; SA=subadults; Juv=juveniles; I=infants; AF/M is sex ratio; I/AF and I&amp;J/AF give the ratio of infants or young immatures respectively per adult female. </w:t>
      </w:r>
    </w:p>
    <w:tbl>
      <w:tblPr>
        <w:tblW w:w="14737" w:type="dxa"/>
        <w:tblInd w:w="113" w:type="dxa"/>
        <w:tblLayout w:type="fixed"/>
        <w:tblLook w:val="04A0" w:firstRow="1" w:lastRow="0" w:firstColumn="1" w:lastColumn="0" w:noHBand="0" w:noVBand="1"/>
      </w:tblPr>
      <w:tblGrid>
        <w:gridCol w:w="562"/>
        <w:gridCol w:w="1276"/>
        <w:gridCol w:w="2552"/>
        <w:gridCol w:w="1275"/>
        <w:gridCol w:w="567"/>
        <w:gridCol w:w="810"/>
        <w:gridCol w:w="608"/>
        <w:gridCol w:w="709"/>
        <w:gridCol w:w="708"/>
        <w:gridCol w:w="851"/>
        <w:gridCol w:w="567"/>
        <w:gridCol w:w="992"/>
        <w:gridCol w:w="543"/>
        <w:gridCol w:w="543"/>
        <w:gridCol w:w="544"/>
        <w:gridCol w:w="543"/>
        <w:gridCol w:w="543"/>
        <w:gridCol w:w="544"/>
      </w:tblGrid>
      <w:tr w:rsidR="003A3D0C" w:rsidRPr="005F2373" w:rsidTr="005348CA">
        <w:trPr>
          <w:trHeight w:val="315"/>
          <w:tblHead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Ref</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 xml:space="preserve">Species: </w:t>
            </w:r>
            <w:r w:rsidRPr="005F2373">
              <w:rPr>
                <w:b/>
                <w:bCs/>
                <w:i/>
                <w:sz w:val="18"/>
                <w:szCs w:val="18"/>
              </w:rPr>
              <w:t>P.</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Site</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Study period</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 xml:space="preserve">N </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Mn</w:t>
            </w:r>
          </w:p>
        </w:tc>
        <w:tc>
          <w:tcPr>
            <w:tcW w:w="608"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b/>
                <w:bCs/>
                <w:sz w:val="18"/>
                <w:szCs w:val="18"/>
              </w:rPr>
            </w:pPr>
            <w:r w:rsidRPr="005F2373">
              <w:rPr>
                <w:b/>
                <w:bCs/>
                <w:sz w:val="18"/>
                <w:szCs w:val="18"/>
              </w:rPr>
              <w:t>Min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A3D0C" w:rsidRPr="005F2373" w:rsidRDefault="003A3D0C" w:rsidP="005348CA">
            <w:pPr>
              <w:rPr>
                <w:b/>
                <w:bCs/>
                <w:sz w:val="18"/>
                <w:szCs w:val="18"/>
              </w:rPr>
            </w:pPr>
            <w:r w:rsidRPr="005F2373">
              <w:rPr>
                <w:b/>
                <w:bCs/>
                <w:sz w:val="18"/>
                <w:szCs w:val="18"/>
              </w:rPr>
              <w:t>Max</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AF</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F range</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AM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M range</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SA</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Juv</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Inf</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AF/M</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I/AF</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sz w:val="18"/>
                <w:szCs w:val="18"/>
              </w:rPr>
            </w:pPr>
            <w:r w:rsidRPr="005F2373">
              <w:rPr>
                <w:b/>
                <w:bCs/>
                <w:sz w:val="18"/>
                <w:szCs w:val="18"/>
              </w:rPr>
              <w:t>I&amp;J/AF</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Senegal, Fathala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1973-</w:t>
            </w:r>
            <w:r>
              <w:rPr>
                <w:sz w:val="18"/>
                <w:szCs w:val="18"/>
              </w:rPr>
              <w:t>19</w:t>
            </w:r>
            <w:r w:rsidRPr="005F2373">
              <w:rPr>
                <w:sz w:val="18"/>
                <w:szCs w:val="18"/>
              </w:rPr>
              <w:t>75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9</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62</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13.3</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5 -27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Senegal, Fathala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1990-1994</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9</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38</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Senegal, Fathala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1996-2002</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Abuko, study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Abuko all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32</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Abuko study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25.9</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27</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25-27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2- 3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Canthanaz NP, Guinea Bissou. 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2008-2009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Abuko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2013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Pirang, Gambia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w:t>
            </w:r>
            <w:r>
              <w:rPr>
                <w:sz w:val="18"/>
                <w:szCs w:val="18"/>
              </w:rPr>
              <w:t>8</w:t>
            </w:r>
            <w:r w:rsidRPr="005F2373">
              <w:rPr>
                <w:sz w:val="18"/>
                <w:szCs w:val="18"/>
              </w:rPr>
              <w:t>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17</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temminckii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Kilimi, Sierra Leone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1981-1982</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Pr>
                <w:b/>
                <w:bCs/>
                <w:i/>
                <w:sz w:val="18"/>
                <w:szCs w:val="18"/>
              </w:rPr>
              <w:t>t</w:t>
            </w:r>
            <w:r w:rsidRPr="005F2373">
              <w:rPr>
                <w:b/>
                <w:bCs/>
                <w:i/>
                <w:sz w:val="18"/>
                <w:szCs w:val="18"/>
              </w:rPr>
              <w:t>emminckii</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Del="009F49A6" w:rsidRDefault="003A3D0C" w:rsidP="005348CA">
            <w:pPr>
              <w:rPr>
                <w:sz w:val="18"/>
                <w:szCs w:val="18"/>
              </w:rPr>
            </w:pPr>
            <w:r>
              <w:rPr>
                <w:sz w:val="18"/>
                <w:szCs w:val="18"/>
              </w:rPr>
              <w:t>Sambel Kunda Area</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2019</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21</w:t>
            </w:r>
          </w:p>
        </w:tc>
        <w:tc>
          <w:tcPr>
            <w:tcW w:w="810" w:type="dxa"/>
            <w:tcBorders>
              <w:top w:val="nil"/>
              <w:left w:val="nil"/>
              <w:bottom w:val="single" w:sz="4" w:space="0" w:color="auto"/>
              <w:right w:val="single" w:sz="4" w:space="0" w:color="auto"/>
            </w:tcBorders>
            <w:shd w:val="clear" w:color="auto" w:fill="auto"/>
            <w:noWrap/>
            <w:vAlign w:val="center"/>
          </w:tcPr>
          <w:p w:rsidR="003A3D0C" w:rsidRPr="00C255EE" w:rsidRDefault="003A3D0C" w:rsidP="005348CA">
            <w:pPr>
              <w:rPr>
                <w:sz w:val="18"/>
                <w:szCs w:val="18"/>
                <w:vertAlign w:val="superscript"/>
              </w:rPr>
            </w:pPr>
            <w:r>
              <w:rPr>
                <w:sz w:val="18"/>
                <w:szCs w:val="18"/>
              </w:rPr>
              <w:t>31.04</w:t>
            </w:r>
            <w:r>
              <w:rPr>
                <w:sz w:val="18"/>
                <w:szCs w:val="18"/>
                <w:vertAlign w:val="superscript"/>
              </w:rPr>
              <w:t>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60</w:t>
            </w: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Pr>
                <w:b/>
                <w:bCs/>
                <w:i/>
                <w:sz w:val="18"/>
                <w:szCs w:val="18"/>
              </w:rPr>
              <w:t>t</w:t>
            </w:r>
            <w:r w:rsidRPr="005F2373">
              <w:rPr>
                <w:b/>
                <w:bCs/>
                <w:i/>
                <w:sz w:val="18"/>
                <w:szCs w:val="18"/>
              </w:rPr>
              <w:t>emminckii</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Del="009F49A6" w:rsidRDefault="003A3D0C" w:rsidP="005348CA">
            <w:pPr>
              <w:rPr>
                <w:sz w:val="18"/>
                <w:szCs w:val="18"/>
              </w:rPr>
            </w:pPr>
            <w:r>
              <w:rPr>
                <w:sz w:val="18"/>
                <w:szCs w:val="18"/>
              </w:rPr>
              <w:t>Kuntaur-Sapo</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2019</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13</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11.0</w:t>
            </w:r>
            <w:r>
              <w:rPr>
                <w:sz w:val="18"/>
                <w:szCs w:val="18"/>
                <w:vertAlign w:val="superscript"/>
              </w:rPr>
              <w:t>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6</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40</w:t>
            </w: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Pr>
                <w:b/>
                <w:bCs/>
                <w:i/>
                <w:sz w:val="18"/>
                <w:szCs w:val="18"/>
              </w:rPr>
              <w:t>t</w:t>
            </w:r>
            <w:r w:rsidRPr="005F2373">
              <w:rPr>
                <w:b/>
                <w:bCs/>
                <w:i/>
                <w:sz w:val="18"/>
                <w:szCs w:val="18"/>
              </w:rPr>
              <w:t>emminckii</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Del="009F49A6" w:rsidRDefault="003A3D0C" w:rsidP="005348CA">
            <w:pPr>
              <w:rPr>
                <w:sz w:val="18"/>
                <w:szCs w:val="18"/>
              </w:rPr>
            </w:pPr>
            <w:r>
              <w:rPr>
                <w:sz w:val="18"/>
                <w:szCs w:val="18"/>
              </w:rPr>
              <w:t>Georgetown-Bansang</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2019</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18</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13.5</w:t>
            </w:r>
            <w:r>
              <w:rPr>
                <w:sz w:val="18"/>
                <w:szCs w:val="18"/>
                <w:vertAlign w:val="superscript"/>
              </w:rPr>
              <w:t>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47</w:t>
            </w: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Pr>
                <w:b/>
                <w:bCs/>
                <w:i/>
                <w:sz w:val="18"/>
                <w:szCs w:val="18"/>
              </w:rPr>
              <w:t>t</w:t>
            </w:r>
            <w:r w:rsidRPr="005F2373">
              <w:rPr>
                <w:b/>
                <w:bCs/>
                <w:i/>
                <w:sz w:val="18"/>
                <w:szCs w:val="18"/>
              </w:rPr>
              <w:t>emminckii</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Del="009F49A6" w:rsidRDefault="003A3D0C" w:rsidP="005348CA">
            <w:pPr>
              <w:rPr>
                <w:sz w:val="18"/>
                <w:szCs w:val="18"/>
              </w:rPr>
            </w:pPr>
            <w:r>
              <w:rPr>
                <w:sz w:val="18"/>
                <w:szCs w:val="18"/>
              </w:rPr>
              <w:t>Bansang-Karantaba</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2019</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37</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10.0</w:t>
            </w:r>
            <w:r>
              <w:rPr>
                <w:sz w:val="18"/>
                <w:szCs w:val="18"/>
                <w:vertAlign w:val="superscript"/>
              </w:rPr>
              <w:t>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49</w:t>
            </w: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Pr>
                <w:b/>
                <w:bCs/>
                <w:i/>
                <w:sz w:val="18"/>
                <w:szCs w:val="18"/>
              </w:rPr>
              <w:t>b</w:t>
            </w:r>
            <w:r w:rsidRPr="005F2373">
              <w:rPr>
                <w:b/>
                <w:bCs/>
                <w:i/>
                <w:sz w:val="18"/>
                <w:szCs w:val="18"/>
              </w:rPr>
              <w:t>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Taï</w:t>
            </w:r>
            <w:r w:rsidRPr="005F2373">
              <w:rPr>
                <w:sz w:val="18"/>
                <w:szCs w:val="18"/>
              </w:rPr>
              <w:t xml:space="preserve"> Ivory Coast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52.3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41</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64</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18.3</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14-22</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6-14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10</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badius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Tiwai, 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1990s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badius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Taï</w:t>
            </w:r>
            <w:r w:rsidRPr="005F2373">
              <w:rPr>
                <w:sz w:val="18"/>
                <w:szCs w:val="18"/>
              </w:rPr>
              <w:t xml:space="preserve"> Ivory Coast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1970s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8</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70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4.33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0.92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badius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Taï</w:t>
            </w:r>
            <w:r w:rsidRPr="005F2373">
              <w:rPr>
                <w:sz w:val="18"/>
                <w:szCs w:val="18"/>
              </w:rPr>
              <w:t>, study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1990s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70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75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badius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Gola F.R. Sierra Leone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i/>
                <w:iCs/>
                <w:sz w:val="18"/>
                <w:szCs w:val="18"/>
              </w:rPr>
              <w:t>c</w:t>
            </w:r>
            <w:r w:rsidRPr="004068F5">
              <w:rPr>
                <w:i/>
                <w:iCs/>
                <w:sz w:val="18"/>
                <w:szCs w:val="18"/>
              </w:rPr>
              <w:t>a.</w:t>
            </w:r>
            <w:r>
              <w:rPr>
                <w:sz w:val="18"/>
                <w:szCs w:val="18"/>
              </w:rPr>
              <w:t xml:space="preserve"> 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&gt;60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badius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Sierra Leone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1950s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&gt;100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Kanyawara, gr</w:t>
            </w:r>
            <w:r>
              <w:rPr>
                <w:sz w:val="18"/>
                <w:szCs w:val="18"/>
              </w:rPr>
              <w:t>ou</w:t>
            </w:r>
            <w:r w:rsidRPr="005F2373">
              <w:rPr>
                <w:sz w:val="18"/>
                <w:szCs w:val="18"/>
              </w:rPr>
              <w:t>p CW</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1970-1988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23.9</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lastRenderedPageBreak/>
              <w:t>1</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Kanyawara </w:t>
            </w:r>
            <w:r>
              <w:rPr>
                <w:sz w:val="18"/>
                <w:szCs w:val="18"/>
              </w:rPr>
              <w:t>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0.75</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Kanyawara, Karambi Road</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55.0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8.50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0.47</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Kanyawara, Karambi Road</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Kanyawara K30 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59.0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Kanyawara K30 study group </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104.0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val="restart"/>
            <w:tcBorders>
              <w:top w:val="nil"/>
              <w:left w:val="nil"/>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Kibale NP: Sebatoli, Dura, Mainaro, Kanyawara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tcBorders>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2010-2011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46.6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val="restart"/>
            <w:tcBorders>
              <w:top w:val="nil"/>
              <w:left w:val="nil"/>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Kibale Kanyawara K30,</w:t>
            </w:r>
            <w:r>
              <w:rPr>
                <w:sz w:val="18"/>
                <w:szCs w:val="18"/>
              </w:rPr>
              <w:t xml:space="preserve"> </w:t>
            </w:r>
            <w:r w:rsidRPr="005F2373">
              <w:rPr>
                <w:sz w:val="18"/>
                <w:szCs w:val="18"/>
              </w:rPr>
              <w:t>K15,</w:t>
            </w:r>
            <w:r>
              <w:rPr>
                <w:sz w:val="18"/>
                <w:szCs w:val="18"/>
              </w:rPr>
              <w:t xml:space="preserve"> </w:t>
            </w:r>
            <w:r w:rsidRPr="005F2373">
              <w:rPr>
                <w:sz w:val="18"/>
                <w:szCs w:val="18"/>
              </w:rPr>
              <w:t>K14 census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35.3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tcBorders>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2010-2011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47.5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5</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Kanyawara, old growth forest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2005-2006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52.1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val="restart"/>
            <w:tcBorders>
              <w:top w:val="nil"/>
              <w:left w:val="nil"/>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Kibale Kanyawara K30</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37.2</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vMerge/>
            <w:tcBorders>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2010-2011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52.1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Sebatoli Kibale NP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14.2</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K30 Kanyawara Kibale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Dura river Kibale NP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Mainaro Kibale NP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1996-1997</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3a</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Ngogo RUL grp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1978-1983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31.8</w:t>
            </w:r>
          </w:p>
        </w:tc>
        <w:tc>
          <w:tcPr>
            <w:tcW w:w="608" w:type="dxa"/>
            <w:tcBorders>
              <w:top w:val="nil"/>
              <w:left w:val="nil"/>
              <w:bottom w:val="single" w:sz="4" w:space="0" w:color="auto"/>
              <w:right w:val="single" w:sz="4" w:space="0" w:color="auto"/>
            </w:tcBorders>
            <w:shd w:val="clear" w:color="auto" w:fill="auto"/>
            <w:noWrap/>
            <w:vAlign w:val="center"/>
          </w:tcPr>
          <w:p w:rsidR="003A3D0C" w:rsidRPr="000C2263" w:rsidRDefault="003A3D0C" w:rsidP="005348CA">
            <w:pPr>
              <w:rPr>
                <w:sz w:val="18"/>
                <w:szCs w:val="18"/>
              </w:rPr>
            </w:pPr>
            <w:r w:rsidRPr="000C2263">
              <w:rPr>
                <w:sz w:val="18"/>
                <w:szCs w:val="18"/>
              </w:rPr>
              <w:t>21</w:t>
            </w:r>
          </w:p>
        </w:tc>
        <w:tc>
          <w:tcPr>
            <w:tcW w:w="709" w:type="dxa"/>
            <w:tcBorders>
              <w:top w:val="nil"/>
              <w:left w:val="nil"/>
              <w:bottom w:val="single" w:sz="4" w:space="0" w:color="auto"/>
              <w:right w:val="single" w:sz="4" w:space="0" w:color="auto"/>
            </w:tcBorders>
            <w:shd w:val="clear" w:color="auto" w:fill="auto"/>
            <w:noWrap/>
            <w:vAlign w:val="center"/>
          </w:tcPr>
          <w:p w:rsidR="003A3D0C" w:rsidRPr="000C2263" w:rsidRDefault="003A3D0C" w:rsidP="005348CA">
            <w:pPr>
              <w:rPr>
                <w:sz w:val="18"/>
                <w:szCs w:val="18"/>
              </w:rPr>
            </w:pPr>
            <w:r w:rsidRPr="000C2263">
              <w:rPr>
                <w:sz w:val="18"/>
                <w:szCs w:val="18"/>
              </w:rPr>
              <w:t>54</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11.3</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3b</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Ngogo BRE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71-75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3c</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Ngogo</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42-45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0.19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0.69</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3d</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Ngogo HTL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1976-1980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0.89</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Ngogo 4 study groups, 3 years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2001-2003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39.5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6.8</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Dura river bridge area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0.83</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Gombe, Kahama 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82.0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Upper Mkenke troop</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Nyasanga troop</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55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Sleeping Valley troop</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w:t>
            </w:r>
            <w:r>
              <w:rPr>
                <w:sz w:val="18"/>
                <w:szCs w:val="18"/>
              </w:rPr>
              <w:t>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lastRenderedPageBreak/>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Upper Kahama troop</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&gt;70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Bigodi (Kibale)</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64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28</w:t>
            </w: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28-32</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10</w:t>
            </w: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10</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3.20</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0.38</w:t>
            </w: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0.38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tcPr>
          <w:p w:rsidR="003A3D0C" w:rsidRDefault="003A3D0C" w:rsidP="005348CA">
            <w:pPr>
              <w:rPr>
                <w:sz w:val="18"/>
                <w:szCs w:val="18"/>
              </w:rPr>
            </w:pPr>
            <w:r w:rsidRPr="005F2373">
              <w:rPr>
                <w:sz w:val="18"/>
                <w:szCs w:val="18"/>
              </w:rPr>
              <w:t>1</w:t>
            </w:r>
            <w:r>
              <w:rPr>
                <w:sz w:val="18"/>
                <w:szCs w:val="18"/>
              </w:rPr>
              <w:t>9</w:t>
            </w:r>
          </w:p>
        </w:tc>
        <w:tc>
          <w:tcPr>
            <w:tcW w:w="1276"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Kanyawara (Kibale)</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1969</w:t>
            </w:r>
            <w:r>
              <w:rPr>
                <w:sz w:val="18"/>
                <w:szCs w:val="18"/>
              </w:rPr>
              <w:t>/</w:t>
            </w:r>
            <w:r w:rsidRPr="005F2373">
              <w:rPr>
                <w:sz w:val="18"/>
                <w:szCs w:val="18"/>
              </w:rPr>
              <w:t>1970</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w:t>
            </w:r>
          </w:p>
        </w:tc>
        <w:tc>
          <w:tcPr>
            <w:tcW w:w="810"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58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17</w:t>
            </w:r>
          </w:p>
        </w:tc>
        <w:tc>
          <w:tcPr>
            <w:tcW w:w="851"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17-21</w:t>
            </w:r>
          </w:p>
        </w:tc>
        <w:tc>
          <w:tcPr>
            <w:tcW w:w="567"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11</w:t>
            </w:r>
          </w:p>
        </w:tc>
        <w:tc>
          <w:tcPr>
            <w:tcW w:w="992"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11-13</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3</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1.62</w:t>
            </w:r>
          </w:p>
        </w:tc>
        <w:tc>
          <w:tcPr>
            <w:tcW w:w="543"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0.14</w:t>
            </w:r>
          </w:p>
        </w:tc>
        <w:tc>
          <w:tcPr>
            <w:tcW w:w="544"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0.14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20</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Gombe, Kasakela, Kakombe, Mikenka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5-16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0.16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3e</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Kabuga Valley Gombe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61.0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3f</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tephrosceles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Businde Valley Gombe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1994</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0.55</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Tana River, single counts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1973-1975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12</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9.7</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5-18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6.64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Tana River Single counts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1986-1988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37</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5.27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23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1E671E" w:rsidRDefault="003A3D0C" w:rsidP="005348CA">
            <w:pPr>
              <w:rPr>
                <w:sz w:val="18"/>
                <w:szCs w:val="18"/>
              </w:rPr>
            </w:pPr>
            <w:r w:rsidRPr="001E671E">
              <w:rPr>
                <w:sz w:val="18"/>
                <w:szCs w:val="18"/>
              </w:rPr>
              <w:t>1.</w:t>
            </w:r>
            <w:r>
              <w:rPr>
                <w:sz w:val="18"/>
                <w:szCs w:val="18"/>
              </w:rPr>
              <w:t xml:space="preserve"> </w:t>
            </w:r>
            <w:r w:rsidRPr="001E671E">
              <w:rPr>
                <w:sz w:val="18"/>
                <w:szCs w:val="18"/>
              </w:rPr>
              <w:t>East of Tana River</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1999-2001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19</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 xml:space="preserve">2. </w:t>
            </w:r>
            <w:r w:rsidRPr="005F2373">
              <w:rPr>
                <w:sz w:val="18"/>
                <w:szCs w:val="18"/>
              </w:rPr>
              <w:t>West of Tana River</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1999-2001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31</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0.49</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1E671E" w:rsidRDefault="003A3D0C" w:rsidP="005348CA">
            <w:pPr>
              <w:rPr>
                <w:sz w:val="18"/>
                <w:szCs w:val="18"/>
              </w:rPr>
            </w:pPr>
            <w:r w:rsidRPr="001E671E">
              <w:rPr>
                <w:sz w:val="18"/>
                <w:szCs w:val="18"/>
              </w:rPr>
              <w:t>1.</w:t>
            </w:r>
            <w:r>
              <w:rPr>
                <w:sz w:val="18"/>
                <w:szCs w:val="18"/>
              </w:rPr>
              <w:t xml:space="preserve"> </w:t>
            </w:r>
            <w:r w:rsidRPr="001E671E">
              <w:rPr>
                <w:sz w:val="18"/>
                <w:szCs w:val="18"/>
              </w:rPr>
              <w:t>Inside Tana River PNR</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1999-2001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4.3</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0.57</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rufomitratus</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 xml:space="preserve">2. </w:t>
            </w:r>
            <w:r w:rsidRPr="005F2373">
              <w:rPr>
                <w:sz w:val="18"/>
                <w:szCs w:val="18"/>
              </w:rPr>
              <w:t>Outside Tana River PNR</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1999-2001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31</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Jozani Shamba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1992-1993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8</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47</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6.59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0.57</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Jozani Shamba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37.5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65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8-24</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Jozani Forest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1992-1993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43</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10.1</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6-16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1.05</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Jozani Forest groups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36</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10-13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3.9</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7.7</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25</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Magombera Forest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w:t>
            </w:r>
            <w:r>
              <w:rPr>
                <w:sz w:val="18"/>
                <w:szCs w:val="18"/>
              </w:rPr>
              <w:t>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33</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9-11</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3g</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Kalunga Forest, 7 visits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1998-2004</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&gt;5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8</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28</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 3-13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3h</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Magombera Forest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1992</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26</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42</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r>
              <w:rPr>
                <w:sz w:val="18"/>
                <w:szCs w:val="18"/>
              </w:rPr>
              <w:t>3i</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Magombera </w:t>
            </w:r>
            <w:r>
              <w:rPr>
                <w:sz w:val="18"/>
                <w:szCs w:val="18"/>
              </w:rPr>
              <w:t>F</w:t>
            </w:r>
            <w:r w:rsidRPr="005F2373">
              <w:rPr>
                <w:sz w:val="18"/>
                <w:szCs w:val="18"/>
              </w:rPr>
              <w:t>orest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2004, 05, 06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31.2</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47</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8-24</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5.85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0.37</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26</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Mwanihana, Udzungwa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1998-2000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7</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62</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4-29</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3.90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Luhombero </w:t>
            </w:r>
            <w:r>
              <w:rPr>
                <w:sz w:val="18"/>
                <w:szCs w:val="18"/>
              </w:rPr>
              <w:t>f</w:t>
            </w:r>
            <w:r w:rsidRPr="005F2373">
              <w:rPr>
                <w:sz w:val="18"/>
                <w:szCs w:val="18"/>
              </w:rPr>
              <w:t>orest</w:t>
            </w:r>
            <w:r>
              <w:rPr>
                <w:sz w:val="18"/>
                <w:szCs w:val="18"/>
              </w:rPr>
              <w:t>, 1350-2100m asl</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46</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Ukami</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9</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Udzungwa Scarp</w:t>
            </w:r>
            <w:r>
              <w:rPr>
                <w:sz w:val="18"/>
                <w:szCs w:val="18"/>
              </w:rPr>
              <w:t>, 300-2050m</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12</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Matundu</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8</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12.0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20</w:t>
            </w: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lastRenderedPageBreak/>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Mwanihana Forest &lt;1000m asl </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1970/1980s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75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xml:space="preserve">Mwanihana Forest &gt;1000m asl </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1970/1980s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Magombera Forest</w:t>
            </w:r>
          </w:p>
        </w:tc>
        <w:tc>
          <w:tcPr>
            <w:tcW w:w="1275"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Pr>
                <w:sz w:val="18"/>
                <w:szCs w:val="18"/>
              </w:rPr>
              <w:t>1970/1980s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26</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Nyumbanitus 1400-1900m</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35</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gordonorum</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Matundu forest – swamp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1991-2000</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20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r>
              <w:rPr>
                <w:sz w:val="18"/>
                <w:szCs w:val="18"/>
              </w:rPr>
              <w:t>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Chwaka, Unguja Island</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10.7</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4.7</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Dunga FR plantation,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Jambiani,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6.1</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0.63</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Jozani-Chwaka Bay NP,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0.57</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Cheju,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12.7</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5.6</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0.82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Kiwengwa FR,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0.55</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Kizimkazi,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Maji Mekundu,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Marumbi,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Bungi Usalaama,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6.83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0.44</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Mchangamle,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15.9</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9.6</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3.93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0.19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Kitogani,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Uzi/Vundwe,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16</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14.6</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3.21</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Ukondoroni,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0.52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Umbuji,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18.5</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Uroa,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0.92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0.67</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Masinginig FR,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30.9</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5.33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0.42</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Michamvi,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0.00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1.00</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Jambiani-Muyuni,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9</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0.42</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0.67</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Shambas south of Jozani-Chwaka Bay NP,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13.9</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7.9</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3.59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0.29</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0.48</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rsidR="003A3D0C" w:rsidRPr="005F2373" w:rsidRDefault="003A3D0C" w:rsidP="005348CA">
            <w:pPr>
              <w:rPr>
                <w:sz w:val="18"/>
                <w:szCs w:val="18"/>
              </w:rPr>
            </w:pPr>
            <w:r w:rsidRPr="004A4539">
              <w:rPr>
                <w:sz w:val="18"/>
                <w:szCs w:val="18"/>
              </w:rPr>
              <w:lastRenderedPageBreak/>
              <w:t>28</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Unguja Ukuu, Unguja I.</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2013-2015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5.8</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2.88</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1.13</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Kwiwenga Good habitat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2004-2005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6.2</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2.8</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2.6</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0.30</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0.73</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Kwiwenga, edge habitat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2004-2005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1.5</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2.46</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0.28</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0.77</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Uzi good</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2004-2005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23.1</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2.7</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1.7</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5.3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3.14</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0.34</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0.96</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29</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kirkii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Uzi edge habitat</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2004-2005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21.8</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8.5</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1.2</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4.1</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3.65</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0.23</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0.71</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30</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foai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Ituri Forest blocks</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1986</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19.2</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13</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43</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31</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foai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Kahuzi-Biega NP, lowland sector, DRC</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1994-1995</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8</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46.3</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w:t>
            </w:r>
            <w:r>
              <w:rPr>
                <w:sz w:val="18"/>
                <w:szCs w:val="18"/>
              </w:rPr>
              <w:t>a</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preussi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Korup NP, Cameroon</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1970s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7</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&gt;47</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&gt;24</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&gt;80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32</w:t>
            </w:r>
            <w:r>
              <w:rPr>
                <w:sz w:val="18"/>
                <w:szCs w:val="18"/>
              </w:rPr>
              <w:t>b</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preussi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Korup NP, Cameroon</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200</w:t>
            </w:r>
            <w:r>
              <w:rPr>
                <w:sz w:val="18"/>
                <w:szCs w:val="18"/>
              </w:rPr>
              <w:t>1-2003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23</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35.0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10</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130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3A3D0C" w:rsidRPr="005F2373" w:rsidRDefault="003A3D0C" w:rsidP="005348CA">
            <w:pPr>
              <w:rPr>
                <w:sz w:val="18"/>
                <w:szCs w:val="18"/>
              </w:rPr>
            </w:pPr>
            <w:r w:rsidRPr="005F2373">
              <w:rPr>
                <w:sz w:val="18"/>
                <w:szCs w:val="18"/>
              </w:rPr>
              <w:t>33</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preussi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Korup NP, study group</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1991-1993</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40.0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34</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pennantii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Bioko Island, Rio Epola</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1992</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~14</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5</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30</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1-3</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r w:rsidR="003A3D0C" w:rsidRPr="005F2373" w:rsidTr="005348CA">
        <w:trPr>
          <w:trHeight w:val="31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Pr>
                <w:sz w:val="18"/>
                <w:szCs w:val="18"/>
              </w:rPr>
              <w:t>34a</w:t>
            </w:r>
          </w:p>
        </w:tc>
        <w:tc>
          <w:tcPr>
            <w:tcW w:w="1276"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b/>
                <w:bCs/>
                <w:i/>
                <w:sz w:val="18"/>
                <w:szCs w:val="18"/>
              </w:rPr>
            </w:pPr>
            <w:r w:rsidRPr="005F2373">
              <w:rPr>
                <w:b/>
                <w:bCs/>
                <w:i/>
                <w:sz w:val="18"/>
                <w:szCs w:val="18"/>
              </w:rPr>
              <w:t>tholloni</w:t>
            </w:r>
          </w:p>
        </w:tc>
        <w:tc>
          <w:tcPr>
            <w:tcW w:w="255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Salonga, Zaire</w:t>
            </w:r>
          </w:p>
        </w:tc>
        <w:tc>
          <w:tcPr>
            <w:tcW w:w="1275"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1990s</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1</w:t>
            </w:r>
          </w:p>
        </w:tc>
        <w:tc>
          <w:tcPr>
            <w:tcW w:w="810"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&gt;60</w:t>
            </w:r>
          </w:p>
        </w:tc>
        <w:tc>
          <w:tcPr>
            <w:tcW w:w="608"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9" w:type="dxa"/>
            <w:tcBorders>
              <w:top w:val="nil"/>
              <w:left w:val="nil"/>
              <w:bottom w:val="single" w:sz="4" w:space="0" w:color="auto"/>
              <w:right w:val="single" w:sz="4" w:space="0" w:color="auto"/>
            </w:tcBorders>
            <w:shd w:val="clear" w:color="auto" w:fill="auto"/>
            <w:noWrap/>
            <w:vAlign w:val="center"/>
          </w:tcPr>
          <w:p w:rsidR="003A3D0C" w:rsidRPr="005F2373" w:rsidRDefault="003A3D0C" w:rsidP="005348CA">
            <w:pPr>
              <w:rPr>
                <w:sz w:val="18"/>
                <w:szCs w:val="18"/>
              </w:rPr>
            </w:pPr>
            <w:r w:rsidRPr="005F2373">
              <w:rPr>
                <w:sz w:val="18"/>
                <w:szCs w:val="18"/>
              </w:rPr>
              <w:t> </w:t>
            </w:r>
          </w:p>
        </w:tc>
        <w:tc>
          <w:tcPr>
            <w:tcW w:w="708"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3"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c>
          <w:tcPr>
            <w:tcW w:w="544" w:type="dxa"/>
            <w:tcBorders>
              <w:top w:val="nil"/>
              <w:left w:val="nil"/>
              <w:bottom w:val="single" w:sz="4" w:space="0" w:color="auto"/>
              <w:right w:val="single" w:sz="4" w:space="0" w:color="auto"/>
            </w:tcBorders>
            <w:shd w:val="clear" w:color="auto" w:fill="auto"/>
            <w:noWrap/>
            <w:vAlign w:val="center"/>
            <w:hideMark/>
          </w:tcPr>
          <w:p w:rsidR="003A3D0C" w:rsidRPr="005F2373" w:rsidRDefault="003A3D0C" w:rsidP="005348CA">
            <w:pPr>
              <w:rPr>
                <w:sz w:val="18"/>
                <w:szCs w:val="18"/>
              </w:rPr>
            </w:pPr>
            <w:r w:rsidRPr="005F2373">
              <w:rPr>
                <w:sz w:val="18"/>
                <w:szCs w:val="18"/>
              </w:rPr>
              <w:t> </w:t>
            </w:r>
          </w:p>
        </w:tc>
      </w:tr>
    </w:tbl>
    <w:p w:rsidR="003A3D0C" w:rsidRPr="005F2373" w:rsidRDefault="003A3D0C" w:rsidP="003A3D0C">
      <w:pPr>
        <w:widowControl w:val="0"/>
        <w:autoSpaceDE w:val="0"/>
        <w:autoSpaceDN w:val="0"/>
        <w:adjustRightInd w:val="0"/>
        <w:rPr>
          <w:i/>
        </w:rPr>
      </w:pPr>
    </w:p>
    <w:p w:rsidR="003A3D0C" w:rsidRPr="00C91F3A" w:rsidRDefault="003A3D0C" w:rsidP="003A3D0C">
      <w:pPr>
        <w:rPr>
          <w:bCs/>
        </w:rPr>
      </w:pPr>
      <w:r w:rsidRPr="005F2373">
        <w:rPr>
          <w:bCs/>
        </w:rPr>
        <w:t xml:space="preserve">Information on a few additional study groups is provided in Table </w:t>
      </w:r>
      <w:r>
        <w:rPr>
          <w:bCs/>
        </w:rPr>
        <w:t>9.</w:t>
      </w:r>
      <w:r w:rsidRPr="005F2373">
        <w:rPr>
          <w:bCs/>
        </w:rPr>
        <w:t xml:space="preserve">2. References: </w:t>
      </w:r>
      <w:r w:rsidRPr="00AE31AB">
        <w:rPr>
          <w:b/>
        </w:rPr>
        <w:t>1</w:t>
      </w:r>
      <w:r w:rsidRPr="005F2373">
        <w:rPr>
          <w:b/>
          <w:bCs/>
        </w:rPr>
        <w:t xml:space="preserve">. </w:t>
      </w:r>
      <w:r w:rsidRPr="005F2373">
        <w:t xml:space="preserve">Gatinot (1975); </w:t>
      </w:r>
      <w:r w:rsidRPr="00AE31AB">
        <w:rPr>
          <w:b/>
          <w:bCs/>
        </w:rPr>
        <w:t>2</w:t>
      </w:r>
      <w:r w:rsidRPr="005F2373">
        <w:t xml:space="preserve">. Galat-Luong &amp; Galat (2005); </w:t>
      </w:r>
      <w:r w:rsidRPr="00AE31AB">
        <w:rPr>
          <w:b/>
          <w:bCs/>
        </w:rPr>
        <w:t>3</w:t>
      </w:r>
      <w:r w:rsidRPr="005F2373">
        <w:t xml:space="preserve">. </w:t>
      </w:r>
      <w:r w:rsidRPr="005F2373">
        <w:rPr>
          <w:noProof/>
        </w:rPr>
        <w:t xml:space="preserve">Butynski </w:t>
      </w:r>
      <w:r w:rsidRPr="005F2373">
        <w:rPr>
          <w:i/>
          <w:noProof/>
        </w:rPr>
        <w:t>et al.</w:t>
      </w:r>
      <w:r w:rsidRPr="005F2373">
        <w:rPr>
          <w:noProof/>
        </w:rPr>
        <w:t xml:space="preserve"> (2013a)</w:t>
      </w:r>
      <w:r w:rsidRPr="005F2373">
        <w:t xml:space="preserve">; </w:t>
      </w:r>
      <w:r w:rsidRPr="00AE31AB">
        <w:rPr>
          <w:b/>
          <w:bCs/>
        </w:rPr>
        <w:t>4</w:t>
      </w:r>
      <w:r w:rsidRPr="005F2373">
        <w:t xml:space="preserve">. Starin (1991); </w:t>
      </w:r>
      <w:r w:rsidRPr="00AE31AB">
        <w:rPr>
          <w:b/>
          <w:bCs/>
        </w:rPr>
        <w:t>5</w:t>
      </w:r>
      <w:r w:rsidRPr="005F2373">
        <w:t xml:space="preserve">. Minhós </w:t>
      </w:r>
      <w:r w:rsidRPr="005F2373">
        <w:rPr>
          <w:i/>
        </w:rPr>
        <w:t>et al.</w:t>
      </w:r>
      <w:r w:rsidRPr="005F2373">
        <w:t xml:space="preserve"> (2015); </w:t>
      </w:r>
      <w:r w:rsidRPr="00AE31AB">
        <w:rPr>
          <w:b/>
          <w:bCs/>
        </w:rPr>
        <w:t>6</w:t>
      </w:r>
      <w:r w:rsidRPr="005F2373">
        <w:t xml:space="preserve">. Hillyer unpubl. several counts per group; </w:t>
      </w:r>
      <w:r w:rsidRPr="00AE31AB">
        <w:rPr>
          <w:b/>
          <w:bCs/>
        </w:rPr>
        <w:t>7</w:t>
      </w:r>
      <w:r w:rsidRPr="005F2373">
        <w:t>. Galat-Luong (1988);</w:t>
      </w:r>
      <w:r>
        <w:t xml:space="preserve"> </w:t>
      </w:r>
      <w:r w:rsidRPr="00AE31AB">
        <w:rPr>
          <w:b/>
          <w:bCs/>
        </w:rPr>
        <w:t>8</w:t>
      </w:r>
      <w:r>
        <w:t>.</w:t>
      </w:r>
      <w:r w:rsidRPr="005F2373">
        <w:t xml:space="preserve"> </w:t>
      </w:r>
      <w:r>
        <w:t xml:space="preserve">Mayhew et al. (2020); </w:t>
      </w:r>
      <w:r w:rsidRPr="00AE31AB">
        <w:rPr>
          <w:b/>
          <w:bCs/>
        </w:rPr>
        <w:t>9</w:t>
      </w:r>
      <w:r w:rsidRPr="005F2373">
        <w:t xml:space="preserve">. Korstjens (2001); </w:t>
      </w:r>
      <w:r w:rsidRPr="00AE31AB">
        <w:rPr>
          <w:b/>
          <w:bCs/>
        </w:rPr>
        <w:t>10</w:t>
      </w:r>
      <w:r w:rsidRPr="005F2373">
        <w:t xml:space="preserve">. Oates (1994); </w:t>
      </w:r>
      <w:r w:rsidRPr="00AE31AB">
        <w:rPr>
          <w:b/>
          <w:bCs/>
        </w:rPr>
        <w:t>11</w:t>
      </w:r>
      <w:r w:rsidRPr="005F2373">
        <w:t xml:space="preserve">. Galat </w:t>
      </w:r>
      <w:r>
        <w:t xml:space="preserve">&amp; </w:t>
      </w:r>
      <w:r w:rsidRPr="005F2373">
        <w:t xml:space="preserve">Galat-Luong (1985); </w:t>
      </w:r>
      <w:r w:rsidRPr="00AE31AB">
        <w:rPr>
          <w:b/>
          <w:bCs/>
        </w:rPr>
        <w:t>12</w:t>
      </w:r>
      <w:r w:rsidRPr="005F2373">
        <w:t xml:space="preserve">. Höner </w:t>
      </w:r>
      <w:r w:rsidRPr="005F2373">
        <w:rPr>
          <w:i/>
        </w:rPr>
        <w:t>et al.</w:t>
      </w:r>
      <w:r w:rsidRPr="005F2373">
        <w:t xml:space="preserve"> (1997); </w:t>
      </w:r>
      <w:r w:rsidRPr="00AE31AB">
        <w:rPr>
          <w:b/>
          <w:bCs/>
        </w:rPr>
        <w:t>13</w:t>
      </w:r>
      <w:r w:rsidRPr="005F2373">
        <w:t>. Struhsaker (2010)</w:t>
      </w:r>
      <w:r>
        <w:t xml:space="preserve"> Appendix 3.1 &amp; Chapter 3 (some are single counts and some are averages over multiple study years);</w:t>
      </w:r>
      <w:r w:rsidRPr="005F2373">
        <w:t xml:space="preserve"> </w:t>
      </w:r>
      <w:r w:rsidRPr="00AE31AB">
        <w:rPr>
          <w:b/>
          <w:bCs/>
        </w:rPr>
        <w:t>14</w:t>
      </w:r>
      <w:r w:rsidRPr="005F2373">
        <w:t xml:space="preserve">. Gogarten </w:t>
      </w:r>
      <w:r w:rsidRPr="00BE6839">
        <w:rPr>
          <w:i/>
          <w:iCs/>
        </w:rPr>
        <w:t>et al.</w:t>
      </w:r>
      <w:r w:rsidRPr="005F2373">
        <w:t xml:space="preserve"> (2015); </w:t>
      </w:r>
      <w:r w:rsidRPr="00AE31AB">
        <w:rPr>
          <w:b/>
          <w:bCs/>
        </w:rPr>
        <w:t>15</w:t>
      </w:r>
      <w:r w:rsidRPr="005F2373">
        <w:t xml:space="preserve">. Chapman </w:t>
      </w:r>
      <w:r w:rsidRPr="005F2373">
        <w:rPr>
          <w:i/>
        </w:rPr>
        <w:t>et al.</w:t>
      </w:r>
      <w:r w:rsidRPr="005F2373">
        <w:t xml:space="preserve"> (2015); </w:t>
      </w:r>
      <w:r w:rsidRPr="00AE31AB">
        <w:rPr>
          <w:b/>
          <w:bCs/>
        </w:rPr>
        <w:t>16</w:t>
      </w:r>
      <w:r w:rsidRPr="005F2373">
        <w:t xml:space="preserve">. Chapman </w:t>
      </w:r>
      <w:r w:rsidRPr="005F2373">
        <w:rPr>
          <w:i/>
        </w:rPr>
        <w:t>et al.</w:t>
      </w:r>
      <w:r w:rsidRPr="005F2373">
        <w:t xml:space="preserve"> (2002a); </w:t>
      </w:r>
      <w:r w:rsidRPr="00AE31AB">
        <w:rPr>
          <w:b/>
          <w:bCs/>
          <w:color w:val="000000" w:themeColor="text1"/>
        </w:rPr>
        <w:t>13a</w:t>
      </w:r>
      <w:r w:rsidRPr="00424E6A">
        <w:rPr>
          <w:color w:val="000000" w:themeColor="text1"/>
        </w:rPr>
        <w:t xml:space="preserve">. Struhsaker, average of 16 counts page 54 &amp; 290 in 13; </w:t>
      </w:r>
      <w:r w:rsidRPr="00AE31AB">
        <w:rPr>
          <w:b/>
          <w:bCs/>
          <w:color w:val="000000" w:themeColor="text1"/>
        </w:rPr>
        <w:t>13b</w:t>
      </w:r>
      <w:r w:rsidRPr="00424E6A">
        <w:rPr>
          <w:color w:val="000000" w:themeColor="text1"/>
        </w:rPr>
        <w:t xml:space="preserve">. Struhsaker single count; </w:t>
      </w:r>
      <w:r w:rsidRPr="00AE31AB">
        <w:rPr>
          <w:b/>
          <w:bCs/>
          <w:color w:val="000000" w:themeColor="text1"/>
        </w:rPr>
        <w:t>13c</w:t>
      </w:r>
      <w:r w:rsidRPr="00424E6A">
        <w:rPr>
          <w:color w:val="000000" w:themeColor="text1"/>
        </w:rPr>
        <w:t xml:space="preserve">. Struhsaker single count between trails E-G;  p. 290; </w:t>
      </w:r>
      <w:r w:rsidRPr="00AE31AB">
        <w:rPr>
          <w:b/>
          <w:bCs/>
          <w:color w:val="000000" w:themeColor="text1"/>
        </w:rPr>
        <w:t>13d</w:t>
      </w:r>
      <w:r w:rsidRPr="00424E6A">
        <w:rPr>
          <w:color w:val="000000" w:themeColor="text1"/>
        </w:rPr>
        <w:t xml:space="preserve">. 23 counts by Lysa Leland; 17. Teelen (2008), see also 13 p. 47 for sex ratio and the assumptions made to calculate those; 18. Struhsaker (1975) in 13; </w:t>
      </w:r>
      <w:r w:rsidRPr="00C91F3A">
        <w:rPr>
          <w:b/>
          <w:bCs/>
        </w:rPr>
        <w:t>19</w:t>
      </w:r>
      <w:r w:rsidRPr="005F2373">
        <w:t xml:space="preserve">. Clutton-Brock (1972) </w:t>
      </w:r>
      <w:r>
        <w:t>p15 (the range for AF and AM value consists of “AF - (AF+AF?)” and “AM-(AM+AM</w:t>
      </w:r>
      <w:r w:rsidRPr="005F2373">
        <w:t xml:space="preserve">; </w:t>
      </w:r>
      <w:r w:rsidRPr="00C91F3A">
        <w:rPr>
          <w:b/>
          <w:bCs/>
        </w:rPr>
        <w:t>20</w:t>
      </w:r>
      <w:r w:rsidRPr="005F2373">
        <w:t xml:space="preserve">. Stanford (1998a); </w:t>
      </w:r>
      <w:r w:rsidRPr="00C91F3A">
        <w:rPr>
          <w:b/>
          <w:bCs/>
        </w:rPr>
        <w:t>13e</w:t>
      </w:r>
      <w:r>
        <w:t xml:space="preserve">. S. M. Kamenya cited in 13; </w:t>
      </w:r>
      <w:r w:rsidRPr="00C91F3A">
        <w:rPr>
          <w:b/>
          <w:bCs/>
        </w:rPr>
        <w:t>13f</w:t>
      </w:r>
      <w:r>
        <w:t xml:space="preserve">. Watts 1994 cited in 13; </w:t>
      </w:r>
      <w:r w:rsidRPr="00C91F3A">
        <w:rPr>
          <w:b/>
          <w:bCs/>
        </w:rPr>
        <w:t>21</w:t>
      </w:r>
      <w:r>
        <w:t xml:space="preserve">. </w:t>
      </w:r>
      <w:r w:rsidRPr="005F2373">
        <w:t>Marsh (1979a)</w:t>
      </w:r>
      <w:r>
        <w:t>,</w:t>
      </w:r>
      <w:r w:rsidRPr="005F2373">
        <w:t xml:space="preserve"> Struhsaker (2000</w:t>
      </w:r>
      <w:r w:rsidRPr="001E671E">
        <w:t xml:space="preserve">); </w:t>
      </w:r>
      <w:r w:rsidRPr="00C91F3A">
        <w:rPr>
          <w:b/>
          <w:bCs/>
        </w:rPr>
        <w:t>22</w:t>
      </w:r>
      <w:r w:rsidRPr="001E671E">
        <w:t xml:space="preserve">. Decker (1994b); </w:t>
      </w:r>
      <w:r w:rsidRPr="00C91F3A">
        <w:rPr>
          <w:b/>
          <w:bCs/>
        </w:rPr>
        <w:t>23</w:t>
      </w:r>
      <w:r w:rsidRPr="005F2373">
        <w:t xml:space="preserve">. Mbora (2003) 55 groups </w:t>
      </w:r>
      <w:r>
        <w:t>counted and divided in two different ways</w:t>
      </w:r>
      <w:r w:rsidRPr="005F2373">
        <w:t xml:space="preserve">; </w:t>
      </w:r>
      <w:r w:rsidRPr="00C91F3A">
        <w:rPr>
          <w:b/>
          <w:bCs/>
        </w:rPr>
        <w:t>24</w:t>
      </w:r>
      <w:r w:rsidRPr="001E671E">
        <w:t>. Siex (2003);</w:t>
      </w:r>
      <w:r>
        <w:t xml:space="preserve"> </w:t>
      </w:r>
      <w:r w:rsidRPr="00C91F3A">
        <w:rPr>
          <w:b/>
          <w:bCs/>
        </w:rPr>
        <w:t>25</w:t>
      </w:r>
      <w:r w:rsidRPr="005F2373">
        <w:t xml:space="preserve">. Struhsaker &amp; Leland </w:t>
      </w:r>
      <w:r>
        <w:t>(</w:t>
      </w:r>
      <w:r w:rsidRPr="005F2373">
        <w:t>1977</w:t>
      </w:r>
      <w:r>
        <w:t>) see also 13</w:t>
      </w:r>
      <w:r w:rsidRPr="005F2373">
        <w:t xml:space="preserve">; </w:t>
      </w:r>
      <w:r w:rsidRPr="00C91F3A">
        <w:rPr>
          <w:b/>
          <w:bCs/>
        </w:rPr>
        <w:t>13g</w:t>
      </w:r>
      <w:r w:rsidRPr="006B0051">
        <w:t>. S</w:t>
      </w:r>
      <w:r w:rsidRPr="005F2373">
        <w:t xml:space="preserve">truhsaker, Marshall, </w:t>
      </w:r>
      <w:r>
        <w:t xml:space="preserve">and </w:t>
      </w:r>
      <w:r w:rsidRPr="005F2373">
        <w:t>Rovero unpublished</w:t>
      </w:r>
      <w:r>
        <w:t xml:space="preserve">, 7 visits over 6 years in 13; </w:t>
      </w:r>
      <w:r w:rsidRPr="00C91F3A">
        <w:rPr>
          <w:b/>
          <w:bCs/>
        </w:rPr>
        <w:t>13h</w:t>
      </w:r>
      <w:r>
        <w:t xml:space="preserve">. </w:t>
      </w:r>
      <w:r w:rsidRPr="006B0051">
        <w:t>Decker in 1992 cited i</w:t>
      </w:r>
      <w:r>
        <w:t>n</w:t>
      </w:r>
      <w:r w:rsidRPr="005F2373">
        <w:t xml:space="preserve"> Struhsaker </w:t>
      </w:r>
      <w:r w:rsidRPr="005F2373">
        <w:rPr>
          <w:i/>
        </w:rPr>
        <w:t>et al.</w:t>
      </w:r>
      <w:r w:rsidRPr="005F2373">
        <w:t xml:space="preserve"> </w:t>
      </w:r>
      <w:r>
        <w:t>(</w:t>
      </w:r>
      <w:r w:rsidRPr="005F2373">
        <w:t>2004</w:t>
      </w:r>
      <w:r>
        <w:t>)</w:t>
      </w:r>
      <w:r w:rsidRPr="005F2373">
        <w:t xml:space="preserve"> in </w:t>
      </w:r>
      <w:r>
        <w:t>13</w:t>
      </w:r>
      <w:r w:rsidRPr="005F2373">
        <w:t xml:space="preserve">; </w:t>
      </w:r>
      <w:r w:rsidRPr="00C91F3A">
        <w:rPr>
          <w:b/>
          <w:bCs/>
        </w:rPr>
        <w:t>13i</w:t>
      </w:r>
      <w:r>
        <w:t>. Mtalawanda and Ngulumiro trails by T.T. Struhsaker, A. M. Marshall and F. Rovero (unpubl.) in 13</w:t>
      </w:r>
      <w:r w:rsidRPr="005F2373">
        <w:t xml:space="preserve">; </w:t>
      </w:r>
      <w:r w:rsidRPr="00C91F3A">
        <w:rPr>
          <w:b/>
          <w:bCs/>
        </w:rPr>
        <w:t>26</w:t>
      </w:r>
      <w:r w:rsidRPr="005F2373">
        <w:t xml:space="preserve">. Struhsaker </w:t>
      </w:r>
      <w:r w:rsidRPr="005F2373">
        <w:rPr>
          <w:i/>
        </w:rPr>
        <w:t>et al.</w:t>
      </w:r>
      <w:r w:rsidRPr="005F2373">
        <w:t xml:space="preserve"> (2004)</w:t>
      </w:r>
      <w:r>
        <w:t xml:space="preserve"> also in 13</w:t>
      </w:r>
      <w:r w:rsidRPr="005F2373">
        <w:t xml:space="preserve">; </w:t>
      </w:r>
      <w:r w:rsidRPr="00C91F3A">
        <w:rPr>
          <w:b/>
          <w:bCs/>
        </w:rPr>
        <w:t>2</w:t>
      </w:r>
      <w:r>
        <w:rPr>
          <w:b/>
          <w:bCs/>
        </w:rPr>
        <w:t>7</w:t>
      </w:r>
      <w:r w:rsidRPr="00C91F3A">
        <w:rPr>
          <w:b/>
          <w:bCs/>
        </w:rPr>
        <w:t xml:space="preserve">. </w:t>
      </w:r>
      <w:r w:rsidRPr="005F2373">
        <w:t xml:space="preserve">Dinesen </w:t>
      </w:r>
      <w:r w:rsidRPr="005F2373">
        <w:rPr>
          <w:i/>
        </w:rPr>
        <w:t>et al.</w:t>
      </w:r>
      <w:r w:rsidRPr="005F2373">
        <w:t xml:space="preserve"> (2001)</w:t>
      </w:r>
      <w:r>
        <w:t xml:space="preserve"> for 1990-2000 survey, citing other sources for older surveys</w:t>
      </w:r>
      <w:r w:rsidRPr="005F2373">
        <w:t xml:space="preserve">; </w:t>
      </w:r>
      <w:r w:rsidRPr="00077381">
        <w:rPr>
          <w:b/>
          <w:bCs/>
        </w:rPr>
        <w:t>2</w:t>
      </w:r>
      <w:r>
        <w:rPr>
          <w:b/>
          <w:bCs/>
        </w:rPr>
        <w:t>8</w:t>
      </w:r>
      <w:r w:rsidRPr="005F2373">
        <w:t xml:space="preserve">. Davenport </w:t>
      </w:r>
      <w:r w:rsidRPr="005F2373">
        <w:rPr>
          <w:i/>
        </w:rPr>
        <w:t>et al.</w:t>
      </w:r>
      <w:r w:rsidRPr="005F2373">
        <w:t xml:space="preserve"> (2019); </w:t>
      </w:r>
      <w:r w:rsidRPr="00077381">
        <w:rPr>
          <w:b/>
          <w:bCs/>
        </w:rPr>
        <w:t>29</w:t>
      </w:r>
      <w:r w:rsidRPr="005F2373">
        <w:t xml:space="preserve">. Nowak &amp; Lee (2011); </w:t>
      </w:r>
      <w:r w:rsidRPr="00077381">
        <w:rPr>
          <w:b/>
          <w:bCs/>
        </w:rPr>
        <w:t>30</w:t>
      </w:r>
      <w:r w:rsidRPr="005F2373">
        <w:t xml:space="preserve">. Thomas (1991); </w:t>
      </w:r>
      <w:r w:rsidRPr="00077381">
        <w:rPr>
          <w:b/>
          <w:bCs/>
        </w:rPr>
        <w:t>31</w:t>
      </w:r>
      <w:r w:rsidRPr="005F2373">
        <w:t xml:space="preserve">. Hall </w:t>
      </w:r>
      <w:r w:rsidRPr="005F2373">
        <w:rPr>
          <w:i/>
        </w:rPr>
        <w:t>et al.</w:t>
      </w:r>
      <w:r w:rsidRPr="005F2373">
        <w:t xml:space="preserve"> (2003); </w:t>
      </w:r>
      <w:r w:rsidRPr="00AE31AB">
        <w:rPr>
          <w:b/>
          <w:bCs/>
        </w:rPr>
        <w:t>32</w:t>
      </w:r>
      <w:r w:rsidRPr="005F2373">
        <w:t xml:space="preserve">. Butynski &amp; Kingdon </w:t>
      </w:r>
      <w:r>
        <w:t>(</w:t>
      </w:r>
      <w:r w:rsidRPr="005F2373">
        <w:t xml:space="preserve">2013) citing </w:t>
      </w:r>
      <w:r w:rsidRPr="00AE31AB">
        <w:rPr>
          <w:b/>
          <w:bCs/>
        </w:rPr>
        <w:t>32a</w:t>
      </w:r>
      <w:r>
        <w:t>.</w:t>
      </w:r>
      <w:r w:rsidRPr="005F2373">
        <w:t xml:space="preserve"> Struhsaker 1975, 2000a</w:t>
      </w:r>
      <w:r>
        <w:t>;</w:t>
      </w:r>
      <w:r w:rsidRPr="005F2373">
        <w:t xml:space="preserve"> </w:t>
      </w:r>
      <w:r w:rsidRPr="00AE31AB">
        <w:rPr>
          <w:b/>
          <w:bCs/>
        </w:rPr>
        <w:t>32b</w:t>
      </w:r>
      <w:r w:rsidRPr="005F2373">
        <w:t xml:space="preserve">. citing Dunn &amp; Okon 2003 unpubl. report; </w:t>
      </w:r>
      <w:r w:rsidRPr="00AE31AB">
        <w:rPr>
          <w:b/>
          <w:bCs/>
        </w:rPr>
        <w:t>33</w:t>
      </w:r>
      <w:r w:rsidRPr="005F2373">
        <w:t xml:space="preserve">. Usongo &amp; Amubode (2001); </w:t>
      </w:r>
      <w:r w:rsidRPr="00AE31AB">
        <w:rPr>
          <w:b/>
          <w:bCs/>
        </w:rPr>
        <w:t>34</w:t>
      </w:r>
      <w:r w:rsidRPr="005F2373">
        <w:t xml:space="preserve">. </w:t>
      </w:r>
      <w:r>
        <w:t xml:space="preserve">Struhsaker (2000); </w:t>
      </w:r>
      <w:r w:rsidRPr="001E2E56">
        <w:rPr>
          <w:b/>
          <w:bCs/>
        </w:rPr>
        <w:t>34a</w:t>
      </w:r>
      <w:r>
        <w:t>.</w:t>
      </w:r>
      <w:r w:rsidRPr="005F2373">
        <w:t xml:space="preserve"> Maisels </w:t>
      </w:r>
      <w:r w:rsidRPr="005F2373">
        <w:rPr>
          <w:i/>
        </w:rPr>
        <w:t>et al.</w:t>
      </w:r>
      <w:r w:rsidRPr="005F2373">
        <w:t xml:space="preserve"> (1994)</w:t>
      </w:r>
      <w:r>
        <w:t xml:space="preserve"> cited in 34</w:t>
      </w:r>
      <w:r w:rsidRPr="005F2373">
        <w:t xml:space="preserve">. </w:t>
      </w:r>
      <w:r w:rsidRPr="00C255EE">
        <w:rPr>
          <w:vertAlign w:val="superscript"/>
        </w:rPr>
        <w:t>4</w:t>
      </w:r>
      <w:r>
        <w:t xml:space="preserve">Median group size provided in the reference. </w:t>
      </w:r>
    </w:p>
    <w:p w:rsidR="00270A71" w:rsidRDefault="00270A71"/>
    <w:sectPr w:rsidR="00270A71" w:rsidSect="003C0E83">
      <w:pgSz w:w="16840" w:h="11901" w:orient="landscape"/>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Lucida Grande">
    <w:altName w:val="Arial"/>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3A94"/>
    <w:multiLevelType w:val="hybridMultilevel"/>
    <w:tmpl w:val="E446E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14EC0"/>
    <w:multiLevelType w:val="hybridMultilevel"/>
    <w:tmpl w:val="791459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7EB39E0"/>
    <w:multiLevelType w:val="hybridMultilevel"/>
    <w:tmpl w:val="08563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5D549E"/>
    <w:multiLevelType w:val="hybridMultilevel"/>
    <w:tmpl w:val="65BC5F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D0C"/>
    <w:rsid w:val="00270A71"/>
    <w:rsid w:val="003A3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A8CC"/>
  <w15:chartTrackingRefBased/>
  <w15:docId w15:val="{E9ACE6D9-094F-4DD4-AD9B-3C5B65A9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D0C"/>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link w:val="Heading2Char"/>
    <w:uiPriority w:val="9"/>
    <w:qFormat/>
    <w:rsid w:val="003A3D0C"/>
    <w:pPr>
      <w:spacing w:before="100" w:beforeAutospacing="1" w:after="100" w:afterAutospacing="1"/>
      <w:outlineLvl w:val="1"/>
    </w:pPr>
    <w:rPr>
      <w:rFonts w:ascii="Times" w:eastAsia="MS Mincho" w:hAnsi="Times"/>
      <w:b/>
      <w:bCs/>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3D0C"/>
    <w:rPr>
      <w:rFonts w:ascii="Times" w:eastAsia="MS Mincho" w:hAnsi="Times" w:cs="Times New Roman"/>
      <w:b/>
      <w:bCs/>
      <w:sz w:val="36"/>
      <w:szCs w:val="36"/>
      <w:lang w:eastAsia="ja-JP"/>
    </w:rPr>
  </w:style>
  <w:style w:type="character" w:styleId="CommentReference">
    <w:name w:val="annotation reference"/>
    <w:uiPriority w:val="99"/>
    <w:semiHidden/>
    <w:unhideWhenUsed/>
    <w:rsid w:val="003A3D0C"/>
    <w:rPr>
      <w:sz w:val="18"/>
      <w:szCs w:val="18"/>
    </w:rPr>
  </w:style>
  <w:style w:type="paragraph" w:styleId="CommentText">
    <w:name w:val="annotation text"/>
    <w:basedOn w:val="Normal"/>
    <w:link w:val="CommentTextChar"/>
    <w:uiPriority w:val="99"/>
    <w:semiHidden/>
    <w:unhideWhenUsed/>
    <w:rsid w:val="003A3D0C"/>
    <w:rPr>
      <w:rFonts w:ascii="Cambria" w:eastAsia="MS Mincho" w:hAnsi="Cambria"/>
      <w:lang w:eastAsia="ja-JP"/>
    </w:rPr>
  </w:style>
  <w:style w:type="character" w:customStyle="1" w:styleId="CommentTextChar">
    <w:name w:val="Comment Text Char"/>
    <w:basedOn w:val="DefaultParagraphFont"/>
    <w:link w:val="CommentText"/>
    <w:uiPriority w:val="99"/>
    <w:semiHidden/>
    <w:rsid w:val="003A3D0C"/>
    <w:rPr>
      <w:rFonts w:ascii="Cambria" w:eastAsia="MS Mincho" w:hAnsi="Cambria" w:cs="Times New Roman"/>
      <w:sz w:val="24"/>
      <w:szCs w:val="24"/>
      <w:lang w:eastAsia="ja-JP"/>
    </w:rPr>
  </w:style>
  <w:style w:type="paragraph" w:styleId="CommentSubject">
    <w:name w:val="annotation subject"/>
    <w:basedOn w:val="CommentText"/>
    <w:next w:val="CommentText"/>
    <w:link w:val="CommentSubjectChar"/>
    <w:uiPriority w:val="99"/>
    <w:semiHidden/>
    <w:unhideWhenUsed/>
    <w:rsid w:val="003A3D0C"/>
    <w:rPr>
      <w:b/>
      <w:bCs/>
      <w:sz w:val="20"/>
      <w:szCs w:val="20"/>
    </w:rPr>
  </w:style>
  <w:style w:type="character" w:customStyle="1" w:styleId="CommentSubjectChar">
    <w:name w:val="Comment Subject Char"/>
    <w:basedOn w:val="CommentTextChar"/>
    <w:link w:val="CommentSubject"/>
    <w:uiPriority w:val="99"/>
    <w:semiHidden/>
    <w:rsid w:val="003A3D0C"/>
    <w:rPr>
      <w:rFonts w:ascii="Cambria" w:eastAsia="MS Mincho" w:hAnsi="Cambria" w:cs="Times New Roman"/>
      <w:b/>
      <w:bCs/>
      <w:sz w:val="20"/>
      <w:szCs w:val="20"/>
      <w:lang w:eastAsia="ja-JP"/>
    </w:rPr>
  </w:style>
  <w:style w:type="paragraph" w:styleId="BalloonText">
    <w:name w:val="Balloon Text"/>
    <w:basedOn w:val="Normal"/>
    <w:link w:val="BalloonTextChar"/>
    <w:uiPriority w:val="99"/>
    <w:semiHidden/>
    <w:unhideWhenUsed/>
    <w:rsid w:val="003A3D0C"/>
    <w:rPr>
      <w:rFonts w:ascii="Lucida Grande" w:eastAsia="MS Mincho" w:hAnsi="Lucida Grande" w:cs="Lucida Grande"/>
      <w:sz w:val="18"/>
      <w:szCs w:val="18"/>
      <w:lang w:eastAsia="ja-JP"/>
    </w:rPr>
  </w:style>
  <w:style w:type="character" w:customStyle="1" w:styleId="BalloonTextChar">
    <w:name w:val="Balloon Text Char"/>
    <w:basedOn w:val="DefaultParagraphFont"/>
    <w:link w:val="BalloonText"/>
    <w:uiPriority w:val="99"/>
    <w:semiHidden/>
    <w:rsid w:val="003A3D0C"/>
    <w:rPr>
      <w:rFonts w:ascii="Lucida Grande" w:eastAsia="MS Mincho" w:hAnsi="Lucida Grande" w:cs="Lucida Grande"/>
      <w:sz w:val="18"/>
      <w:szCs w:val="18"/>
      <w:lang w:eastAsia="ja-JP"/>
    </w:rPr>
  </w:style>
  <w:style w:type="character" w:customStyle="1" w:styleId="st">
    <w:name w:val="st"/>
    <w:basedOn w:val="DefaultParagraphFont"/>
    <w:rsid w:val="003A3D0C"/>
  </w:style>
  <w:style w:type="character" w:customStyle="1" w:styleId="lrzxr">
    <w:name w:val="lrzxr"/>
    <w:basedOn w:val="DefaultParagraphFont"/>
    <w:rsid w:val="003A3D0C"/>
  </w:style>
  <w:style w:type="character" w:styleId="Emphasis">
    <w:name w:val="Emphasis"/>
    <w:uiPriority w:val="20"/>
    <w:qFormat/>
    <w:rsid w:val="003A3D0C"/>
    <w:rPr>
      <w:i/>
      <w:iCs/>
    </w:rPr>
  </w:style>
  <w:style w:type="character" w:styleId="Hyperlink">
    <w:name w:val="Hyperlink"/>
    <w:uiPriority w:val="99"/>
    <w:unhideWhenUsed/>
    <w:rsid w:val="003A3D0C"/>
    <w:rPr>
      <w:color w:val="0000FF"/>
      <w:u w:val="single"/>
    </w:rPr>
  </w:style>
  <w:style w:type="character" w:customStyle="1" w:styleId="list-group-item">
    <w:name w:val="list-group-item"/>
    <w:basedOn w:val="DefaultParagraphFont"/>
    <w:rsid w:val="003A3D0C"/>
  </w:style>
  <w:style w:type="character" w:customStyle="1" w:styleId="anchortext">
    <w:name w:val="anchortext"/>
    <w:basedOn w:val="DefaultParagraphFont"/>
    <w:rsid w:val="003A3D0C"/>
  </w:style>
  <w:style w:type="paragraph" w:styleId="ListParagraph">
    <w:name w:val="List Paragraph"/>
    <w:basedOn w:val="Normal"/>
    <w:uiPriority w:val="34"/>
    <w:qFormat/>
    <w:rsid w:val="003A3D0C"/>
    <w:pPr>
      <w:ind w:left="720"/>
      <w:contextualSpacing/>
    </w:pPr>
    <w:rPr>
      <w:rFonts w:ascii="Cambria" w:eastAsia="MS Mincho" w:hAnsi="Cambria"/>
      <w:lang w:eastAsia="ja-JP"/>
    </w:rPr>
  </w:style>
  <w:style w:type="character" w:styleId="LineNumber">
    <w:name w:val="line number"/>
    <w:basedOn w:val="DefaultParagraphFont"/>
    <w:uiPriority w:val="99"/>
    <w:semiHidden/>
    <w:unhideWhenUsed/>
    <w:rsid w:val="003A3D0C"/>
  </w:style>
  <w:style w:type="table" w:styleId="TableGrid">
    <w:name w:val="Table Grid"/>
    <w:basedOn w:val="TableNormal"/>
    <w:uiPriority w:val="59"/>
    <w:rsid w:val="003A3D0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3A3D0C"/>
    <w:rPr>
      <w:color w:val="800080"/>
      <w:u w:val="single"/>
    </w:rPr>
  </w:style>
  <w:style w:type="paragraph" w:customStyle="1" w:styleId="xl65">
    <w:name w:val="xl65"/>
    <w:basedOn w:val="Normal"/>
    <w:rsid w:val="003A3D0C"/>
    <w:pPr>
      <w:spacing w:before="100" w:beforeAutospacing="1" w:after="100" w:afterAutospacing="1"/>
    </w:pPr>
    <w:rPr>
      <w:b/>
      <w:bCs/>
    </w:rPr>
  </w:style>
  <w:style w:type="paragraph" w:customStyle="1" w:styleId="xl66">
    <w:name w:val="xl66"/>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olor w:val="000000"/>
      <w:sz w:val="20"/>
      <w:szCs w:val="20"/>
    </w:rPr>
  </w:style>
  <w:style w:type="paragraph" w:customStyle="1" w:styleId="xl67">
    <w:name w:val="xl67"/>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color w:val="000000"/>
      <w:sz w:val="20"/>
      <w:szCs w:val="20"/>
    </w:rPr>
  </w:style>
  <w:style w:type="paragraph" w:customStyle="1" w:styleId="xl68">
    <w:name w:val="xl68"/>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0">
    <w:name w:val="xl70"/>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1">
    <w:name w:val="xl71"/>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3">
    <w:name w:val="xl73"/>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5">
    <w:name w:val="xl75"/>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76">
    <w:name w:val="xl76"/>
    <w:basedOn w:val="Normal"/>
    <w:rsid w:val="003A3D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styleId="Revision">
    <w:name w:val="Revision"/>
    <w:hidden/>
    <w:uiPriority w:val="99"/>
    <w:semiHidden/>
    <w:rsid w:val="003A3D0C"/>
    <w:pPr>
      <w:spacing w:after="0" w:line="240" w:lineRule="auto"/>
    </w:pPr>
    <w:rPr>
      <w:rFonts w:ascii="Cambria" w:eastAsia="MS Mincho" w:hAnsi="Cambria" w:cs="Times New Roman"/>
      <w:sz w:val="24"/>
      <w:szCs w:val="24"/>
      <w:lang w:eastAsia="ja-JP"/>
    </w:rPr>
  </w:style>
  <w:style w:type="character" w:customStyle="1" w:styleId="UnresolvedMention1">
    <w:name w:val="Unresolved Mention1"/>
    <w:basedOn w:val="DefaultParagraphFont"/>
    <w:uiPriority w:val="99"/>
    <w:semiHidden/>
    <w:unhideWhenUsed/>
    <w:rsid w:val="003A3D0C"/>
    <w:rPr>
      <w:color w:val="605E5C"/>
      <w:shd w:val="clear" w:color="auto" w:fill="E1DFDD"/>
    </w:rPr>
  </w:style>
  <w:style w:type="paragraph" w:styleId="Header">
    <w:name w:val="header"/>
    <w:basedOn w:val="Normal"/>
    <w:link w:val="HeaderChar"/>
    <w:uiPriority w:val="99"/>
    <w:unhideWhenUsed/>
    <w:rsid w:val="003A3D0C"/>
    <w:pPr>
      <w:tabs>
        <w:tab w:val="center" w:pos="4513"/>
        <w:tab w:val="right" w:pos="9026"/>
      </w:tabs>
    </w:pPr>
    <w:rPr>
      <w:rFonts w:ascii="Cambria" w:eastAsia="MS Mincho" w:hAnsi="Cambria"/>
      <w:lang w:eastAsia="ja-JP"/>
    </w:rPr>
  </w:style>
  <w:style w:type="character" w:customStyle="1" w:styleId="HeaderChar">
    <w:name w:val="Header Char"/>
    <w:basedOn w:val="DefaultParagraphFont"/>
    <w:link w:val="Header"/>
    <w:uiPriority w:val="99"/>
    <w:rsid w:val="003A3D0C"/>
    <w:rPr>
      <w:rFonts w:ascii="Cambria" w:eastAsia="MS Mincho" w:hAnsi="Cambria" w:cs="Times New Roman"/>
      <w:sz w:val="24"/>
      <w:szCs w:val="24"/>
      <w:lang w:eastAsia="ja-JP"/>
    </w:rPr>
  </w:style>
  <w:style w:type="paragraph" w:styleId="Footer">
    <w:name w:val="footer"/>
    <w:basedOn w:val="Normal"/>
    <w:link w:val="FooterChar"/>
    <w:uiPriority w:val="99"/>
    <w:unhideWhenUsed/>
    <w:rsid w:val="003A3D0C"/>
    <w:pPr>
      <w:tabs>
        <w:tab w:val="center" w:pos="4513"/>
        <w:tab w:val="right" w:pos="9026"/>
      </w:tabs>
    </w:pPr>
    <w:rPr>
      <w:rFonts w:ascii="Cambria" w:eastAsia="MS Mincho" w:hAnsi="Cambria"/>
      <w:lang w:eastAsia="ja-JP"/>
    </w:rPr>
  </w:style>
  <w:style w:type="character" w:customStyle="1" w:styleId="FooterChar">
    <w:name w:val="Footer Char"/>
    <w:basedOn w:val="DefaultParagraphFont"/>
    <w:link w:val="Footer"/>
    <w:uiPriority w:val="99"/>
    <w:rsid w:val="003A3D0C"/>
    <w:rPr>
      <w:rFonts w:ascii="Cambria" w:eastAsia="MS Mincho" w:hAnsi="Cambria" w:cs="Times New Roman"/>
      <w:sz w:val="24"/>
      <w:szCs w:val="24"/>
      <w:lang w:eastAsia="ja-JP"/>
    </w:rPr>
  </w:style>
  <w:style w:type="character" w:customStyle="1" w:styleId="UnresolvedMention2">
    <w:name w:val="Unresolved Mention2"/>
    <w:basedOn w:val="DefaultParagraphFont"/>
    <w:uiPriority w:val="99"/>
    <w:semiHidden/>
    <w:unhideWhenUsed/>
    <w:rsid w:val="003A3D0C"/>
    <w:rPr>
      <w:color w:val="605E5C"/>
      <w:shd w:val="clear" w:color="auto" w:fill="E1DFDD"/>
    </w:rPr>
  </w:style>
  <w:style w:type="character" w:customStyle="1" w:styleId="highwire-citation-authors">
    <w:name w:val="highwire-citation-authors"/>
    <w:basedOn w:val="DefaultParagraphFont"/>
    <w:rsid w:val="003A3D0C"/>
  </w:style>
  <w:style w:type="character" w:customStyle="1" w:styleId="highwire-citation-author">
    <w:name w:val="highwire-citation-author"/>
    <w:basedOn w:val="DefaultParagraphFont"/>
    <w:rsid w:val="003A3D0C"/>
  </w:style>
  <w:style w:type="character" w:customStyle="1" w:styleId="nlm-given-names">
    <w:name w:val="nlm-given-names"/>
    <w:basedOn w:val="DefaultParagraphFont"/>
    <w:rsid w:val="003A3D0C"/>
  </w:style>
  <w:style w:type="character" w:customStyle="1" w:styleId="nlm-surname">
    <w:name w:val="nlm-surname"/>
    <w:basedOn w:val="DefaultParagraphFont"/>
    <w:rsid w:val="003A3D0C"/>
  </w:style>
  <w:style w:type="character" w:customStyle="1" w:styleId="highwire-cite-metadata-journal">
    <w:name w:val="highwire-cite-metadata-journal"/>
    <w:basedOn w:val="DefaultParagraphFont"/>
    <w:rsid w:val="003A3D0C"/>
  </w:style>
  <w:style w:type="character" w:customStyle="1" w:styleId="highwire-cite-metadata-pages">
    <w:name w:val="highwire-cite-metadata-pages"/>
    <w:basedOn w:val="DefaultParagraphFont"/>
    <w:rsid w:val="003A3D0C"/>
  </w:style>
  <w:style w:type="character" w:customStyle="1" w:styleId="highwire-cite-metadata-doi">
    <w:name w:val="highwire-cite-metadata-doi"/>
    <w:basedOn w:val="DefaultParagraphFont"/>
    <w:rsid w:val="003A3D0C"/>
  </w:style>
  <w:style w:type="character" w:customStyle="1" w:styleId="doilabel">
    <w:name w:val="doi_label"/>
    <w:basedOn w:val="DefaultParagraphFont"/>
    <w:rsid w:val="003A3D0C"/>
  </w:style>
  <w:style w:type="character" w:customStyle="1" w:styleId="UnresolvedMention">
    <w:name w:val="Unresolved Mention"/>
    <w:basedOn w:val="DefaultParagraphFont"/>
    <w:uiPriority w:val="99"/>
    <w:semiHidden/>
    <w:unhideWhenUsed/>
    <w:rsid w:val="003A3D0C"/>
    <w:rPr>
      <w:color w:val="605E5C"/>
      <w:shd w:val="clear" w:color="auto" w:fill="E1DFDD"/>
    </w:rPr>
  </w:style>
  <w:style w:type="character" w:customStyle="1" w:styleId="apple-converted-space">
    <w:name w:val="apple-converted-space"/>
    <w:basedOn w:val="DefaultParagraphFont"/>
    <w:rsid w:val="003A3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3687</Words>
  <Characters>21018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Boult</dc:creator>
  <cp:keywords/>
  <dc:description/>
  <cp:lastModifiedBy>Olivia Boult</cp:lastModifiedBy>
  <cp:revision>1</cp:revision>
  <dcterms:created xsi:type="dcterms:W3CDTF">2021-01-14T16:16:00Z</dcterms:created>
  <dcterms:modified xsi:type="dcterms:W3CDTF">2021-01-14T16:18:00Z</dcterms:modified>
</cp:coreProperties>
</file>