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68" w:rsidRPr="005B4E68" w:rsidRDefault="005B4E68" w:rsidP="005B48DB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5B4E68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8</w:t>
      </w: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General</w:t>
      </w:r>
    </w:p>
    <w:p w:rsidR="00B25BA4" w:rsidRDefault="009D28E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Chaput,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D28E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</w:t>
      </w:r>
      <w:r w:rsidRPr="009D28E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Sodalis ligni</w:t>
      </w: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strain 159R isolated from an anaerobic lignin-degrading consortium. </w:t>
      </w:r>
      <w:r w:rsidRPr="009D28E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 Spectrum</w:t>
      </w: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9D28E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10</w:t>
      </w: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e02346-21.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7" w:history="1">
        <w:r w:rsidRPr="009D28E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https://journals.asm.org/doi/abs/10.1128/spectrum.02346-21</w:t>
        </w:r>
      </w:hyperlink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F79C4" w:rsidRDefault="0023773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2377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Jäger, C. M.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2377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Croft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2377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A.</w:t>
      </w:r>
      <w:r w:rsidRPr="002377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K.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(in press). </w:t>
      </w:r>
      <w:r w:rsidRPr="002377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If it is hard, it is worth doing: Engineering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radical enzymes from anaerobes.</w:t>
      </w:r>
      <w:r w:rsidRPr="002377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23773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Biochemistry</w:t>
      </w:r>
      <w:r w:rsidRPr="002377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8" w:history="1">
        <w:r w:rsidRPr="0023773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https://doi.org/10.1021/acs.biochem.2c00376</w:t>
        </w:r>
      </w:hyperlink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F02D52" w:rsidRDefault="00F02D5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bCs/>
          <w:iCs/>
          <w:kern w:val="0"/>
          <w:sz w:val="24"/>
          <w:szCs w:val="24"/>
          <w:lang w:val="en-GB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Hydrogen in fermentation</w:t>
      </w: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</w:p>
    <w:p w:rsidR="008D6DBA" w:rsidRPr="008D6DBA" w:rsidRDefault="008D6DBA" w:rsidP="008D6D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Schut, G. J. </w:t>
      </w:r>
      <w:r w:rsidRPr="008D6D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An abundant and diverse new family of electron bifurcating enzymes with a non-canonical catalytic mechanism. </w:t>
      </w:r>
      <w:r w:rsidRPr="008D6D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6D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946711. </w:t>
      </w:r>
      <w:hyperlink r:id="rId9" w:history="1">
        <w:r w:rsidRPr="008D6D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https://www.frontiersin.org/articles/10.3389/fmicb.2022.946711</w:t>
        </w:r>
      </w:hyperlink>
    </w:p>
    <w:p w:rsidR="008D6DBA" w:rsidRDefault="008D6DB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25BA4" w:rsidRDefault="008D6DB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>Song,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6D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Comparative analysis of </w:t>
      </w:r>
      <w:r w:rsidRPr="008D6DB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Brucepastera parasyntrophica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gen. nov., sp. nov. and </w:t>
      </w:r>
      <w:r w:rsidRPr="008D6DB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Teretinema zuelzerae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gen. nov., comb. nov. (</w:t>
      </w:r>
      <w:r w:rsidRPr="008D6DB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Treponemataceae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) reveals the importance of interspecies hydrogen transfer in the energy metabolism of spirochetes. </w:t>
      </w:r>
      <w:r w:rsidRPr="008D6D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6D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e00503-22.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8D6D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https://journals.asm.org/doi/abs/10.1128/aem.00503-22</w:t>
        </w:r>
      </w:hyperlink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Pr="00ED75EE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Oxygen toxicity</w:t>
      </w:r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Ethanol</w:t>
      </w: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fermentation</w:t>
      </w:r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79C4" w:rsidRPr="005B4E68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Lact</w:t>
      </w: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ate fermentation</w:t>
      </w:r>
    </w:p>
    <w:p w:rsidR="00E67226" w:rsidRDefault="009D28E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Colautti,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D28E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Lactobacilli, a weapon to counteract pathogens through the inhibition of their virulence factors. </w:t>
      </w:r>
      <w:r w:rsidRPr="009D28E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D28E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204</w:t>
      </w: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D28E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e00272-22.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1" w:history="1">
        <w:r w:rsidRPr="009D28E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https://journals.asm.org/doi/abs/10.1128/jb.00272-22</w:t>
        </w:r>
      </w:hyperlink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F79C4" w:rsidRDefault="00B07F0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07F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Liu, T.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07F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B07F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Towards a knowledge graph for pre-/probiotics and microbiota–gut–brain axis diseases. </w:t>
      </w:r>
      <w:r w:rsidRPr="00B07F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B07F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07F0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07F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18977.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2" w:history="1">
        <w:r w:rsidRPr="00B07F0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https://doi.org/10.1038/s41598-022-21735-x</w:t>
        </w:r>
      </w:hyperlink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F79C4" w:rsidRDefault="008D6DB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Wu, Y.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Lin Y.-H. (2022). Fermentation redox potential control on the 1,3-propanediol producti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on by </w:t>
      </w:r>
      <w:r w:rsidRPr="008D6D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Lactobacillus panis </w:t>
      </w: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PM1. </w:t>
      </w:r>
      <w:r w:rsidRPr="008D6D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Process Biochemistry</w:t>
      </w: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D6DB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139-146.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3" w:history="1">
        <w:r w:rsidRPr="008D6DB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https://doi.org/10.1016/j.procbio.2022.01.020</w:t>
        </w:r>
      </w:hyperlink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F79C4" w:rsidRDefault="00A04A4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04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Zhu, B.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04A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04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Roles of the microbiota of the female reproductive tract in gynecological and reproductive health. </w:t>
      </w:r>
      <w:r w:rsidRPr="00A04A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A04A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Molecular Biology Reviews</w:t>
      </w:r>
      <w:r w:rsidRPr="00A04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04A4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86</w:t>
      </w:r>
      <w:r w:rsidRPr="00A04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04A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e00181-21.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4" w:history="1">
        <w:r w:rsidR="008D6DBA" w:rsidRPr="008D6DB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https://journals.asm.org/doi/abs/10.1128/mmbr.00181-21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849EE" w:rsidRPr="00D944E8" w:rsidRDefault="00E849E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Butyrate and butanol</w:t>
      </w:r>
    </w:p>
    <w:p w:rsidR="00CC25BE" w:rsidRDefault="009D28E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D2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Hon,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et al.</w:t>
      </w:r>
      <w:r w:rsidRPr="009D2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Increasing the thermodynamic driving force of the phosphofructokinase reaction in </w:t>
      </w:r>
      <w:r w:rsidRPr="009D28E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thermocellum</w:t>
      </w:r>
      <w:r w:rsidRPr="009D2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9D28E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9D28E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9D2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D28E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9D2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D2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e01258-22.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5" w:history="1">
        <w:r w:rsidRPr="009D28E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https://journals.asm.org/doi/abs/10.1128/aem.01258-22</w:t>
        </w:r>
      </w:hyperlink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79C4" w:rsidRDefault="00501D09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D6DB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  <w:lang w:eastAsia="en-US"/>
        </w:rPr>
        <w:lastRenderedPageBreak/>
        <w:t>Schut</w:t>
      </w:r>
      <w:r w:rsidRPr="00501D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G.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01D0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01D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An abundant and diverse new family of electron bifurcating enzymes with a non-canonical catalytic mechanism. </w:t>
      </w:r>
      <w:r w:rsidRPr="00501D0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501D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01D0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01D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946711.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6" w:history="1">
        <w:r w:rsidRPr="00501D0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https://www.frontiersin.org/articles/10.3389/fmicb.2022.946711</w:t>
        </w:r>
      </w:hyperlink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79C4" w:rsidRDefault="008D6DB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D6DB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Zhang,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et al. (2023). </w:t>
      </w:r>
      <w:r w:rsidRPr="008D6DB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Clostridium kluyveri 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enhances caproate production by synergistically cooperating with acetogens in mixed microbial community of electro-fermentation system. </w:t>
      </w:r>
      <w:r w:rsidRPr="008D6DB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 Technology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D6DB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369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D6DB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128436.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7" w:history="1">
        <w:r w:rsidRPr="008D6D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https://doi.org/10.1016/j.biortech.2022.128436</w:t>
        </w:r>
      </w:hyperlink>
    </w:p>
    <w:p w:rsidR="00732C3A" w:rsidRDefault="00732C3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02D52" w:rsidRPr="00273E7A" w:rsidRDefault="00F02D5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Mixed acid fermentation</w:t>
      </w:r>
    </w:p>
    <w:p w:rsidR="00D944E8" w:rsidRDefault="00DB72A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B72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Alawi,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B72A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DB72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Metabolic engineering of a newly isolated </w:t>
      </w:r>
      <w:r w:rsidRPr="00DB72A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Citrobacter braakii</w:t>
      </w:r>
      <w:r w:rsidRPr="00DB72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strain to produce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1,3-propanediol from glycerol.</w:t>
      </w:r>
      <w:r w:rsidRPr="00DB72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B72A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Bioresource Technology Reports</w:t>
      </w:r>
      <w:r w:rsidRPr="00DB72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B72A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B72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101271.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8" w:history="1">
        <w:r w:rsidRPr="00DB72A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https://doi.org/10.1016/j.biteb.2022.101271</w:t>
        </w:r>
      </w:hyperlink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F79C4" w:rsidRDefault="008D6DB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Shu,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D6DBA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  <w:lang w:eastAsia="en-US"/>
        </w:rPr>
        <w:t>et</w:t>
      </w:r>
      <w:r w:rsidRPr="008D6DBA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 </w:t>
      </w:r>
      <w:r w:rsidRPr="008D6D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The roles of diol dehydratase from </w:t>
      </w:r>
      <w:r w:rsidRPr="008D6D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pdu </w:t>
      </w: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operon on glycerol catabolism in </w:t>
      </w:r>
      <w:r w:rsidRPr="008D6D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Klebsiella pneumoniae</w:t>
      </w: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8D6D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Enzyme </w:t>
      </w:r>
      <w:r w:rsidR="00F02D5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8D6D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Microbial Technology</w:t>
      </w: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D6DB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157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D6D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110021.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9" w:history="1">
        <w:r w:rsidRPr="008D6DB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https://doi.org/10.1016/j.enzmictec.2022.110021</w:t>
        </w:r>
      </w:hyperlink>
    </w:p>
    <w:p w:rsidR="00483DC1" w:rsidRDefault="00483DC1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51ACA" w:rsidRPr="00D944E8" w:rsidRDefault="00251AC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Propionate</w:t>
      </w:r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Fermentation of amino acids</w:t>
      </w:r>
    </w:p>
    <w:p w:rsidR="00B25BA4" w:rsidRDefault="00B07F0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07F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Pavao, A.</w:t>
      </w:r>
      <w:r w:rsidR="0099009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990091" w:rsidRPr="0099009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99009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B07F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Reconsidering the in vivo functions of clostridial Stickland amino acid fermentations. </w:t>
      </w:r>
      <w:r w:rsidRPr="0099009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Anaerobe</w:t>
      </w:r>
      <w:r w:rsidRPr="00B07F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07F0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76</w:t>
      </w:r>
      <w:r w:rsidR="0099009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07F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102600.</w:t>
      </w:r>
      <w:r w:rsidR="0099009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0" w:history="1">
        <w:r w:rsidRPr="00B07F0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https://www.sciencedirect.com/science/article/pii/S1075996422000919</w:t>
        </w:r>
      </w:hyperlink>
    </w:p>
    <w:p w:rsidR="00B25BA4" w:rsidRDefault="00B25BA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67E24" w:rsidRPr="006D3E90" w:rsidRDefault="00D67E2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Fermentation of dicarboxylic acids</w:t>
      </w:r>
    </w:p>
    <w:p w:rsidR="00B25BA4" w:rsidRDefault="00990091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90091">
        <w:rPr>
          <w:rFonts w:ascii="Times New Roman" w:eastAsia="맑은 고딕" w:hAnsi="Times New Roman" w:cs="Times New Roman"/>
          <w:kern w:val="0"/>
          <w:sz w:val="24"/>
          <w:szCs w:val="24"/>
        </w:rPr>
        <w:t>Schubert,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9009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900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</w:t>
      </w:r>
      <w:r w:rsidRPr="00990091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4</w:t>
      </w:r>
      <w:r w:rsidRPr="009900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-dicarboxylates as growth substrates and signaling molecules for commensal and pathogenic enteric bacteria in mammalian intestine. </w:t>
      </w:r>
      <w:r w:rsidRPr="0099009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9900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9009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990091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900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e00545-21.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99009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https://journals.asm.org/doi/abs/10.1128/jb.00545-21</w:t>
        </w:r>
      </w:hyperlink>
    </w:p>
    <w:p w:rsidR="006F79C4" w:rsidRDefault="006F79C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67E24" w:rsidRPr="006D3E90" w:rsidRDefault="00D67E2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Hyperthermophilic archaeal fermentation</w:t>
      </w:r>
    </w:p>
    <w:p w:rsidR="00F02D52" w:rsidRPr="00F02D52" w:rsidRDefault="00F02D5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bookmarkStart w:id="0" w:name="_GoBack"/>
    </w:p>
    <w:bookmarkEnd w:id="0"/>
    <w:p w:rsidR="00F02D52" w:rsidRPr="00F02D52" w:rsidRDefault="00F02D5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sectPr w:rsidR="00F02D52" w:rsidRPr="00F02D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7E5" w:rsidRDefault="004F57E5" w:rsidP="00A46167">
      <w:pPr>
        <w:spacing w:after="0" w:line="240" w:lineRule="auto"/>
      </w:pPr>
      <w:r>
        <w:separator/>
      </w:r>
    </w:p>
  </w:endnote>
  <w:endnote w:type="continuationSeparator" w:id="0">
    <w:p w:rsidR="004F57E5" w:rsidRDefault="004F57E5" w:rsidP="00A46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7E5" w:rsidRDefault="004F57E5" w:rsidP="00A46167">
      <w:pPr>
        <w:spacing w:after="0" w:line="240" w:lineRule="auto"/>
      </w:pPr>
      <w:r>
        <w:separator/>
      </w:r>
    </w:p>
  </w:footnote>
  <w:footnote w:type="continuationSeparator" w:id="0">
    <w:p w:rsidR="004F57E5" w:rsidRDefault="004F57E5" w:rsidP="00A46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68"/>
    <w:rsid w:val="00006879"/>
    <w:rsid w:val="000151C7"/>
    <w:rsid w:val="00016783"/>
    <w:rsid w:val="00023F4C"/>
    <w:rsid w:val="000346DE"/>
    <w:rsid w:val="00044F43"/>
    <w:rsid w:val="000731F4"/>
    <w:rsid w:val="000820B1"/>
    <w:rsid w:val="000D6EB0"/>
    <w:rsid w:val="000E4322"/>
    <w:rsid w:val="00117F14"/>
    <w:rsid w:val="0013208B"/>
    <w:rsid w:val="00134908"/>
    <w:rsid w:val="00163403"/>
    <w:rsid w:val="001A0AF7"/>
    <w:rsid w:val="00206E04"/>
    <w:rsid w:val="0023773F"/>
    <w:rsid w:val="00251ACA"/>
    <w:rsid w:val="00270342"/>
    <w:rsid w:val="00273E7A"/>
    <w:rsid w:val="00275A24"/>
    <w:rsid w:val="00292AD4"/>
    <w:rsid w:val="002E620C"/>
    <w:rsid w:val="00300910"/>
    <w:rsid w:val="003670F5"/>
    <w:rsid w:val="00396273"/>
    <w:rsid w:val="003C3BAD"/>
    <w:rsid w:val="00424525"/>
    <w:rsid w:val="00430355"/>
    <w:rsid w:val="00440CEC"/>
    <w:rsid w:val="00443D5D"/>
    <w:rsid w:val="00483DC1"/>
    <w:rsid w:val="004940E2"/>
    <w:rsid w:val="004C6852"/>
    <w:rsid w:val="004F57E5"/>
    <w:rsid w:val="00501D09"/>
    <w:rsid w:val="00531FC3"/>
    <w:rsid w:val="0054677C"/>
    <w:rsid w:val="00554B14"/>
    <w:rsid w:val="005619B3"/>
    <w:rsid w:val="00583837"/>
    <w:rsid w:val="005A3653"/>
    <w:rsid w:val="005B48DB"/>
    <w:rsid w:val="005B4E68"/>
    <w:rsid w:val="005D158B"/>
    <w:rsid w:val="005E090C"/>
    <w:rsid w:val="005F06A9"/>
    <w:rsid w:val="00626B77"/>
    <w:rsid w:val="00656AE1"/>
    <w:rsid w:val="00657AF7"/>
    <w:rsid w:val="00690F3D"/>
    <w:rsid w:val="006A0440"/>
    <w:rsid w:val="006D3E90"/>
    <w:rsid w:val="006E6C0D"/>
    <w:rsid w:val="006F79C4"/>
    <w:rsid w:val="00732350"/>
    <w:rsid w:val="00732C3A"/>
    <w:rsid w:val="00757E87"/>
    <w:rsid w:val="007748A8"/>
    <w:rsid w:val="007D0F34"/>
    <w:rsid w:val="007D6A5C"/>
    <w:rsid w:val="00863B8E"/>
    <w:rsid w:val="008A088D"/>
    <w:rsid w:val="008A4DB4"/>
    <w:rsid w:val="008D6DBA"/>
    <w:rsid w:val="009520D0"/>
    <w:rsid w:val="00984677"/>
    <w:rsid w:val="00990091"/>
    <w:rsid w:val="00990FE1"/>
    <w:rsid w:val="009D28E4"/>
    <w:rsid w:val="009E4B63"/>
    <w:rsid w:val="00A045DC"/>
    <w:rsid w:val="00A04A4C"/>
    <w:rsid w:val="00A0555D"/>
    <w:rsid w:val="00A24D58"/>
    <w:rsid w:val="00A46167"/>
    <w:rsid w:val="00A97D7B"/>
    <w:rsid w:val="00AE49FB"/>
    <w:rsid w:val="00B005C7"/>
    <w:rsid w:val="00B07F0E"/>
    <w:rsid w:val="00B155D2"/>
    <w:rsid w:val="00B25BA4"/>
    <w:rsid w:val="00BA0470"/>
    <w:rsid w:val="00BC3B76"/>
    <w:rsid w:val="00C00006"/>
    <w:rsid w:val="00C24FED"/>
    <w:rsid w:val="00C476C7"/>
    <w:rsid w:val="00C5191A"/>
    <w:rsid w:val="00C638B3"/>
    <w:rsid w:val="00C7441B"/>
    <w:rsid w:val="00C87B71"/>
    <w:rsid w:val="00CC25BE"/>
    <w:rsid w:val="00CE1844"/>
    <w:rsid w:val="00CF0855"/>
    <w:rsid w:val="00CF5F61"/>
    <w:rsid w:val="00D222AE"/>
    <w:rsid w:val="00D67E24"/>
    <w:rsid w:val="00D73F5E"/>
    <w:rsid w:val="00D944E8"/>
    <w:rsid w:val="00D9579E"/>
    <w:rsid w:val="00DB72AA"/>
    <w:rsid w:val="00DD23F1"/>
    <w:rsid w:val="00DF63FA"/>
    <w:rsid w:val="00E239E3"/>
    <w:rsid w:val="00E405AB"/>
    <w:rsid w:val="00E40EB1"/>
    <w:rsid w:val="00E67226"/>
    <w:rsid w:val="00E7426A"/>
    <w:rsid w:val="00E849EE"/>
    <w:rsid w:val="00E86F69"/>
    <w:rsid w:val="00E97C54"/>
    <w:rsid w:val="00EB1971"/>
    <w:rsid w:val="00EB20B0"/>
    <w:rsid w:val="00EB5BE0"/>
    <w:rsid w:val="00ED175F"/>
    <w:rsid w:val="00ED75EE"/>
    <w:rsid w:val="00F02D52"/>
    <w:rsid w:val="00F07328"/>
    <w:rsid w:val="00F700EF"/>
    <w:rsid w:val="00FA1C07"/>
    <w:rsid w:val="00FB216A"/>
    <w:rsid w:val="00FC2623"/>
    <w:rsid w:val="00FC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4D87A4-9627-49EB-9171-216DC473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5B4E68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5B4E68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5B4E68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5B4E68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5B4E68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5B4E68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5B4E68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5B4E68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5B4E68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5B4E68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5B4E68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5B4E68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5B4E68"/>
  </w:style>
  <w:style w:type="paragraph" w:customStyle="1" w:styleId="Style7">
    <w:name w:val="Style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5B4E6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5B4E68"/>
  </w:style>
  <w:style w:type="paragraph" w:customStyle="1" w:styleId="Author">
    <w:name w:val="Author"/>
    <w:basedOn w:val="a0"/>
    <w:rsid w:val="005B4E68"/>
    <w:rPr>
      <w:sz w:val="26"/>
    </w:rPr>
  </w:style>
  <w:style w:type="paragraph" w:customStyle="1" w:styleId="Editor">
    <w:name w:val="Editor"/>
    <w:basedOn w:val="a0"/>
    <w:rsid w:val="005B4E68"/>
    <w:rPr>
      <w:sz w:val="26"/>
    </w:rPr>
  </w:style>
  <w:style w:type="paragraph" w:customStyle="1" w:styleId="Edition">
    <w:name w:val="Edition"/>
    <w:basedOn w:val="a0"/>
    <w:rsid w:val="005B4E68"/>
  </w:style>
  <w:style w:type="paragraph" w:customStyle="1" w:styleId="Dedication">
    <w:name w:val="Dedication"/>
    <w:basedOn w:val="a0"/>
    <w:rsid w:val="005B4E68"/>
  </w:style>
  <w:style w:type="paragraph" w:customStyle="1" w:styleId="Half-title">
    <w:name w:val="Half-title"/>
    <w:basedOn w:val="a0"/>
    <w:rsid w:val="005B4E68"/>
  </w:style>
  <w:style w:type="paragraph" w:customStyle="1" w:styleId="Copyright">
    <w:name w:val="Copyright"/>
    <w:basedOn w:val="a0"/>
    <w:rsid w:val="005B4E68"/>
  </w:style>
  <w:style w:type="paragraph" w:customStyle="1" w:styleId="LOC">
    <w:name w:val="LOC"/>
    <w:basedOn w:val="a0"/>
    <w:rsid w:val="005B4E68"/>
  </w:style>
  <w:style w:type="paragraph" w:customStyle="1" w:styleId="Publisher">
    <w:name w:val="Publisher"/>
    <w:basedOn w:val="a0"/>
    <w:rsid w:val="005B4E68"/>
  </w:style>
  <w:style w:type="paragraph" w:styleId="a4">
    <w:name w:val="Subtitle"/>
    <w:basedOn w:val="a0"/>
    <w:link w:val="Char0"/>
    <w:qFormat/>
    <w:rsid w:val="005B4E68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5B4E68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5B4E68"/>
  </w:style>
  <w:style w:type="paragraph" w:customStyle="1" w:styleId="TOCChapter">
    <w:name w:val="TOCChapter"/>
    <w:basedOn w:val="a0"/>
    <w:rsid w:val="005B4E68"/>
  </w:style>
  <w:style w:type="paragraph" w:customStyle="1" w:styleId="TOCpagenumber">
    <w:name w:val="TOCpagenumber"/>
    <w:basedOn w:val="a0"/>
    <w:rsid w:val="005B4E68"/>
  </w:style>
  <w:style w:type="paragraph" w:customStyle="1" w:styleId="TOCsubchapter">
    <w:name w:val="TOCsubchapter"/>
    <w:basedOn w:val="a0"/>
    <w:rsid w:val="005B4E68"/>
  </w:style>
  <w:style w:type="paragraph" w:customStyle="1" w:styleId="TOCsubsubchapter">
    <w:name w:val="TOCsubsubchapter"/>
    <w:basedOn w:val="a0"/>
    <w:rsid w:val="005B4E68"/>
  </w:style>
  <w:style w:type="paragraph" w:customStyle="1" w:styleId="TOCsubsubsubchapter">
    <w:name w:val="TOCsubsubsubchapter"/>
    <w:basedOn w:val="a0"/>
    <w:rsid w:val="005B4E68"/>
  </w:style>
  <w:style w:type="paragraph" w:styleId="a5">
    <w:name w:val="caption"/>
    <w:basedOn w:val="a0"/>
    <w:qFormat/>
    <w:rsid w:val="005B4E68"/>
    <w:rPr>
      <w:bCs/>
      <w:szCs w:val="20"/>
    </w:rPr>
  </w:style>
  <w:style w:type="paragraph" w:customStyle="1" w:styleId="Blockquote">
    <w:name w:val="Blockquote"/>
    <w:basedOn w:val="a0"/>
    <w:rsid w:val="005B4E68"/>
    <w:pPr>
      <w:ind w:left="432" w:right="432"/>
    </w:pPr>
  </w:style>
  <w:style w:type="paragraph" w:customStyle="1" w:styleId="Extract">
    <w:name w:val="Extract"/>
    <w:basedOn w:val="a0"/>
    <w:rsid w:val="005B4E68"/>
    <w:pPr>
      <w:ind w:left="432" w:right="432"/>
    </w:pPr>
  </w:style>
  <w:style w:type="paragraph" w:customStyle="1" w:styleId="Indentblock">
    <w:name w:val="Indentblock"/>
    <w:basedOn w:val="a0"/>
    <w:rsid w:val="005B4E68"/>
    <w:pPr>
      <w:ind w:left="432"/>
    </w:pPr>
  </w:style>
  <w:style w:type="paragraph" w:customStyle="1" w:styleId="Indenthanginga">
    <w:name w:val="Indenthanginga"/>
    <w:basedOn w:val="a0"/>
    <w:rsid w:val="005B4E68"/>
    <w:pPr>
      <w:ind w:left="432" w:hanging="432"/>
    </w:pPr>
  </w:style>
  <w:style w:type="paragraph" w:customStyle="1" w:styleId="Indenthanging1">
    <w:name w:val="Indenthanging1"/>
    <w:basedOn w:val="a0"/>
    <w:rsid w:val="005B4E68"/>
    <w:pPr>
      <w:ind w:left="190" w:hanging="190"/>
    </w:pPr>
  </w:style>
  <w:style w:type="paragraph" w:customStyle="1" w:styleId="Indenthangingb">
    <w:name w:val="Indenthangingb"/>
    <w:basedOn w:val="a0"/>
    <w:rsid w:val="005B4E68"/>
    <w:pPr>
      <w:ind w:left="432" w:hanging="432"/>
    </w:pPr>
  </w:style>
  <w:style w:type="paragraph" w:customStyle="1" w:styleId="Table">
    <w:name w:val="Table"/>
    <w:basedOn w:val="a0"/>
    <w:rsid w:val="005B4E68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5B4E68"/>
  </w:style>
  <w:style w:type="paragraph" w:customStyle="1" w:styleId="Note">
    <w:name w:val="Note"/>
    <w:basedOn w:val="Table"/>
    <w:rsid w:val="005B4E68"/>
  </w:style>
  <w:style w:type="paragraph" w:customStyle="1" w:styleId="Sidebar">
    <w:name w:val="Sidebar"/>
    <w:basedOn w:val="Table"/>
    <w:rsid w:val="005B4E68"/>
  </w:style>
  <w:style w:type="paragraph" w:customStyle="1" w:styleId="Indexmain">
    <w:name w:val="Indexmain"/>
    <w:basedOn w:val="a0"/>
    <w:rsid w:val="005B4E68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5B4E68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5B4E68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5B4E68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5B4E68"/>
    <w:rPr>
      <w:rFonts w:ascii="Times New Roman" w:hAnsi="Times New Roman"/>
      <w:b/>
    </w:rPr>
  </w:style>
  <w:style w:type="character" w:customStyle="1" w:styleId="eIta">
    <w:name w:val="eIta"/>
    <w:rsid w:val="005B4E68"/>
    <w:rPr>
      <w:rFonts w:ascii="Times New Roman" w:hAnsi="Times New Roman"/>
      <w:i/>
    </w:rPr>
  </w:style>
  <w:style w:type="character" w:customStyle="1" w:styleId="eBolIta">
    <w:name w:val="eBolIta"/>
    <w:rsid w:val="005B4E68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5B4E68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5B4E68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5B4E68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5B4E68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5B4E68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5B4E68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5B4E68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5B4E68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5B4E68"/>
  </w:style>
  <w:style w:type="paragraph" w:customStyle="1" w:styleId="NlTable-H">
    <w:name w:val="NlTable-H"/>
    <w:basedOn w:val="Table-H"/>
    <w:rsid w:val="005B4E68"/>
  </w:style>
  <w:style w:type="paragraph" w:customStyle="1" w:styleId="Note-H">
    <w:name w:val="Note-H"/>
    <w:basedOn w:val="Table-H"/>
    <w:rsid w:val="005B4E68"/>
  </w:style>
  <w:style w:type="paragraph" w:customStyle="1" w:styleId="Sidebar-H">
    <w:name w:val="Sidebar-H"/>
    <w:basedOn w:val="Table-H"/>
    <w:rsid w:val="005B4E68"/>
  </w:style>
  <w:style w:type="paragraph" w:customStyle="1" w:styleId="Poem">
    <w:name w:val="Poem"/>
    <w:basedOn w:val="Extract"/>
    <w:qFormat/>
    <w:rsid w:val="005B4E68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5B4E68"/>
    <w:pPr>
      <w:ind w:left="864"/>
    </w:pPr>
  </w:style>
  <w:style w:type="paragraph" w:customStyle="1" w:styleId="indent1">
    <w:name w:val="indent1"/>
    <w:basedOn w:val="a"/>
    <w:next w:val="a0"/>
    <w:qFormat/>
    <w:rsid w:val="005B4E68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5B4E68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5B4E68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5B4E68"/>
    <w:rPr>
      <w:color w:val="0000FF"/>
      <w:u w:val="single"/>
    </w:rPr>
  </w:style>
  <w:style w:type="character" w:styleId="a9">
    <w:name w:val="FollowedHyperlink"/>
    <w:uiPriority w:val="99"/>
    <w:rsid w:val="005B4E68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5B4E68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5B4E68"/>
  </w:style>
  <w:style w:type="character" w:customStyle="1" w:styleId="Char">
    <w:name w:val="일반 (웹) Char"/>
    <w:aliases w:val="표준 (웹) Char"/>
    <w:link w:val="a0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5B4E68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5B4E68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5B4E68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5B4E68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5B4E68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5B4E68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5B4E68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5B4E68"/>
  </w:style>
  <w:style w:type="character" w:customStyle="1" w:styleId="maintextleft1">
    <w:name w:val="maintextleft1"/>
    <w:rsid w:val="005B4E68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5B4E68"/>
    <w:rPr>
      <w:i/>
      <w:iCs/>
    </w:rPr>
  </w:style>
  <w:style w:type="character" w:styleId="af">
    <w:name w:val="page number"/>
    <w:basedOn w:val="a1"/>
    <w:rsid w:val="005B4E68"/>
  </w:style>
  <w:style w:type="paragraph" w:styleId="af0">
    <w:name w:val="Revision"/>
    <w:hidden/>
    <w:uiPriority w:val="99"/>
    <w:semiHidden/>
    <w:rsid w:val="005B4E68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5B4E68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5B4E68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5B4E68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5B4E68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5B4E68"/>
  </w:style>
  <w:style w:type="paragraph" w:customStyle="1" w:styleId="MTDisplayEquation">
    <w:name w:val="MTDisplayEquation"/>
    <w:basedOn w:val="a0"/>
    <w:next w:val="a"/>
    <w:link w:val="MTDisplayEquationChar"/>
    <w:rsid w:val="005B4E68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5B4E68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5B4E68"/>
    <w:rPr>
      <w:color w:val="808080"/>
    </w:rPr>
  </w:style>
  <w:style w:type="paragraph" w:customStyle="1" w:styleId="TableRight">
    <w:name w:val="Table +  Right"/>
    <w:basedOn w:val="Table"/>
    <w:rsid w:val="005B4E68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5B4E68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5B4E68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5B4E68"/>
  </w:style>
  <w:style w:type="numbering" w:customStyle="1" w:styleId="NoList3">
    <w:name w:val="No List3"/>
    <w:next w:val="a3"/>
    <w:uiPriority w:val="99"/>
    <w:semiHidden/>
    <w:unhideWhenUsed/>
    <w:rsid w:val="005B4E68"/>
  </w:style>
  <w:style w:type="character" w:customStyle="1" w:styleId="apple-converted-space">
    <w:name w:val="apple-converted-space"/>
    <w:basedOn w:val="a1"/>
    <w:rsid w:val="005B4E68"/>
  </w:style>
  <w:style w:type="character" w:customStyle="1" w:styleId="mw-cite-backlink">
    <w:name w:val="mw-cite-backlink"/>
    <w:basedOn w:val="a1"/>
    <w:rsid w:val="005B4E68"/>
  </w:style>
  <w:style w:type="character" w:customStyle="1" w:styleId="cite-accessibility-label">
    <w:name w:val="cite-accessibility-label"/>
    <w:basedOn w:val="a1"/>
    <w:rsid w:val="005B4E68"/>
  </w:style>
  <w:style w:type="paragraph" w:customStyle="1" w:styleId="Default">
    <w:name w:val="Default"/>
    <w:rsid w:val="005B4E6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5B4E68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5B4E68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5B4E68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5B4E68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5B4E68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5B4E68"/>
  </w:style>
  <w:style w:type="character" w:customStyle="1" w:styleId="article-headercorresponding-auth">
    <w:name w:val="article-header__corresponding-auth"/>
    <w:basedOn w:val="a1"/>
    <w:rsid w:val="005B4E68"/>
  </w:style>
  <w:style w:type="character" w:customStyle="1" w:styleId="collapsetext1">
    <w:name w:val="collapsetext1"/>
    <w:rsid w:val="005B4E68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5B4E68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5B4E68"/>
    <w:rPr>
      <w:i/>
      <w:iCs/>
    </w:rPr>
  </w:style>
  <w:style w:type="character" w:customStyle="1" w:styleId="slug-elocation">
    <w:name w:val="slug-elocation"/>
    <w:basedOn w:val="a1"/>
    <w:rsid w:val="005B4E68"/>
  </w:style>
  <w:style w:type="character" w:customStyle="1" w:styleId="st1">
    <w:name w:val="st1"/>
    <w:basedOn w:val="a1"/>
    <w:rsid w:val="005B4E68"/>
  </w:style>
  <w:style w:type="character" w:customStyle="1" w:styleId="current-selection">
    <w:name w:val="current-selection"/>
    <w:basedOn w:val="a1"/>
    <w:rsid w:val="005B4E68"/>
  </w:style>
  <w:style w:type="character" w:customStyle="1" w:styleId="af8">
    <w:name w:val="_"/>
    <w:basedOn w:val="a1"/>
    <w:rsid w:val="005B4E68"/>
  </w:style>
  <w:style w:type="character" w:customStyle="1" w:styleId="enhanced-reference">
    <w:name w:val="enhanced-reference"/>
    <w:basedOn w:val="a1"/>
    <w:rsid w:val="005B4E68"/>
  </w:style>
  <w:style w:type="character" w:customStyle="1" w:styleId="ff5">
    <w:name w:val="ff5"/>
    <w:basedOn w:val="a1"/>
    <w:rsid w:val="005B4E68"/>
  </w:style>
  <w:style w:type="character" w:customStyle="1" w:styleId="named-content">
    <w:name w:val="named-content"/>
    <w:basedOn w:val="a1"/>
    <w:rsid w:val="005B4E68"/>
  </w:style>
  <w:style w:type="character" w:customStyle="1" w:styleId="A40">
    <w:name w:val="A4"/>
    <w:uiPriority w:val="99"/>
    <w:rsid w:val="005B4E68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5B4E68"/>
    <w:rPr>
      <w:i/>
      <w:iCs/>
    </w:rPr>
  </w:style>
  <w:style w:type="character" w:styleId="af9">
    <w:name w:val="Strong"/>
    <w:uiPriority w:val="22"/>
    <w:qFormat/>
    <w:rsid w:val="005B4E68"/>
    <w:rPr>
      <w:b/>
      <w:bCs/>
    </w:rPr>
  </w:style>
  <w:style w:type="character" w:customStyle="1" w:styleId="cit-auth">
    <w:name w:val="cit-auth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5B4E68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5B4E68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5B4E68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5B4E68"/>
  </w:style>
  <w:style w:type="character" w:customStyle="1" w:styleId="js-revealercontrol-toggle">
    <w:name w:val="js-revealer__control-toggle"/>
    <w:basedOn w:val="a1"/>
    <w:rsid w:val="005B4E68"/>
  </w:style>
  <w:style w:type="character" w:customStyle="1" w:styleId="equiv">
    <w:name w:val="equiv"/>
    <w:basedOn w:val="a1"/>
    <w:rsid w:val="005B4E68"/>
  </w:style>
  <w:style w:type="character" w:customStyle="1" w:styleId="article-headermeta-info-label">
    <w:name w:val="article-header__meta-info-label"/>
    <w:basedOn w:val="a1"/>
    <w:rsid w:val="005B4E68"/>
  </w:style>
  <w:style w:type="character" w:customStyle="1" w:styleId="cit-issue">
    <w:name w:val="cit-issue"/>
    <w:basedOn w:val="a1"/>
    <w:rsid w:val="005B4E68"/>
  </w:style>
  <w:style w:type="character" w:customStyle="1" w:styleId="cit-first-page">
    <w:name w:val="cit-first-page"/>
    <w:basedOn w:val="a1"/>
    <w:rsid w:val="005B4E68"/>
  </w:style>
  <w:style w:type="paragraph" w:customStyle="1" w:styleId="hstyle0">
    <w:name w:val="hstyle0"/>
    <w:basedOn w:val="a"/>
    <w:rsid w:val="005B4E68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5B4E68"/>
  </w:style>
  <w:style w:type="character" w:customStyle="1" w:styleId="jp-sup1">
    <w:name w:val="jp-sup1"/>
    <w:rsid w:val="005B4E68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5B4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21/acs.biochem.2c00376" TargetMode="External"/><Relationship Id="rId13" Type="http://schemas.openxmlformats.org/officeDocument/2006/relationships/hyperlink" Target="https://doi.org/10.1016/j.procbio.2022.01.020" TargetMode="External"/><Relationship Id="rId18" Type="http://schemas.openxmlformats.org/officeDocument/2006/relationships/hyperlink" Target="https://doi.org/10.1016/j.biteb.2022.10127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journals.asm.org/doi/abs/10.1128/jb.00545-21" TargetMode="External"/><Relationship Id="rId7" Type="http://schemas.openxmlformats.org/officeDocument/2006/relationships/hyperlink" Target="https://journals.asm.org/doi/abs/10.1128/spectrum.02346-21" TargetMode="External"/><Relationship Id="rId12" Type="http://schemas.openxmlformats.org/officeDocument/2006/relationships/hyperlink" Target="https://doi.org/10.1038/s41598-022-21735-x" TargetMode="External"/><Relationship Id="rId17" Type="http://schemas.openxmlformats.org/officeDocument/2006/relationships/hyperlink" Target="https://doi.org/10.1016/j.biortech.2022.1284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rontiersin.org/articles/10.3389/fmicb.2022.946711" TargetMode="External"/><Relationship Id="rId20" Type="http://schemas.openxmlformats.org/officeDocument/2006/relationships/hyperlink" Target="https://www.sciencedirect.com/science/article/pii/S10759964220009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s.asm.org/doi/abs/10.1128/jb.00272-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ournals.asm.org/doi/abs/10.1128/aem.01258-2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journals.asm.org/doi/abs/10.1128/aem.00503-22" TargetMode="External"/><Relationship Id="rId19" Type="http://schemas.openxmlformats.org/officeDocument/2006/relationships/hyperlink" Target="https://doi.org/10.1016/j.enzmictec.2022.110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rontiersin.org/articles/10.3389/fmicb.2022.946711" TargetMode="External"/><Relationship Id="rId14" Type="http://schemas.openxmlformats.org/officeDocument/2006/relationships/hyperlink" Target="https://journals.asm.org/doi/abs/10.1128/mmbr.00181-2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4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51</cp:revision>
  <dcterms:created xsi:type="dcterms:W3CDTF">2020-01-05T01:51:00Z</dcterms:created>
  <dcterms:modified xsi:type="dcterms:W3CDTF">2023-01-09T13:45:00Z</dcterms:modified>
</cp:coreProperties>
</file>