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345CA" w14:textId="77777777" w:rsidR="00BC2E58" w:rsidRDefault="00BC2E58" w:rsidP="006732AE">
      <w:pPr>
        <w:widowControl w:val="0"/>
        <w:autoSpaceDE w:val="0"/>
        <w:autoSpaceDN w:val="0"/>
        <w:adjustRightInd w:val="0"/>
        <w:ind w:left="720"/>
        <w:jc w:val="center"/>
        <w:rPr>
          <w:b/>
          <w:sz w:val="28"/>
          <w:lang w:val="en-US" w:eastAsia="en-US"/>
        </w:rPr>
      </w:pPr>
      <w:r w:rsidRPr="00BC2E58">
        <w:rPr>
          <w:b/>
          <w:sz w:val="28"/>
          <w:lang w:val="en-US" w:eastAsia="en-US"/>
        </w:rPr>
        <w:t>Exercises</w:t>
      </w:r>
    </w:p>
    <w:p w14:paraId="60C773EE" w14:textId="77777777" w:rsidR="006732AE" w:rsidRDefault="006732AE" w:rsidP="006732AE">
      <w:pPr>
        <w:widowControl w:val="0"/>
        <w:autoSpaceDE w:val="0"/>
        <w:autoSpaceDN w:val="0"/>
        <w:adjustRightInd w:val="0"/>
        <w:ind w:left="720"/>
        <w:jc w:val="center"/>
        <w:rPr>
          <w:b/>
          <w:sz w:val="28"/>
          <w:lang w:val="en-US" w:eastAsia="en-US"/>
        </w:rPr>
      </w:pPr>
      <w:r>
        <w:rPr>
          <w:b/>
          <w:sz w:val="28"/>
          <w:lang w:val="en-US" w:eastAsia="en-US"/>
        </w:rPr>
        <w:t>Chapter 17</w:t>
      </w:r>
    </w:p>
    <w:p w14:paraId="12B90C2F" w14:textId="77777777" w:rsidR="00BC2E58" w:rsidRPr="00BC2E58" w:rsidRDefault="00BC2E58" w:rsidP="006732AE">
      <w:pPr>
        <w:widowControl w:val="0"/>
        <w:autoSpaceDE w:val="0"/>
        <w:autoSpaceDN w:val="0"/>
        <w:adjustRightInd w:val="0"/>
        <w:ind w:left="720"/>
        <w:jc w:val="center"/>
        <w:rPr>
          <w:b/>
          <w:sz w:val="28"/>
          <w:lang w:val="en-US" w:eastAsia="en-US"/>
        </w:rPr>
      </w:pPr>
    </w:p>
    <w:p w14:paraId="731CE671" w14:textId="4B964273" w:rsidR="0040638F" w:rsidRDefault="006732AE" w:rsidP="006732AE">
      <w:pPr>
        <w:widowControl w:val="0"/>
        <w:autoSpaceDE w:val="0"/>
        <w:autoSpaceDN w:val="0"/>
        <w:adjustRightInd w:val="0"/>
        <w:rPr>
          <w:b/>
          <w:lang w:val="en-US" w:eastAsia="en-US"/>
        </w:rPr>
      </w:pPr>
      <w:r>
        <w:rPr>
          <w:b/>
          <w:lang w:val="en-US" w:eastAsia="en-US"/>
        </w:rPr>
        <w:t xml:space="preserve">Exercise 17.1 </w:t>
      </w:r>
      <w:r w:rsidR="0040638F" w:rsidRPr="006732AE">
        <w:rPr>
          <w:b/>
          <w:lang w:val="en-US" w:eastAsia="en-US"/>
        </w:rPr>
        <w:t>Cooling of planetary lava flows</w:t>
      </w:r>
    </w:p>
    <w:p w14:paraId="5E800E91" w14:textId="77777777" w:rsidR="006732AE" w:rsidRPr="006732AE" w:rsidRDefault="006732AE" w:rsidP="006732AE">
      <w:pPr>
        <w:widowControl w:val="0"/>
        <w:autoSpaceDE w:val="0"/>
        <w:autoSpaceDN w:val="0"/>
        <w:adjustRightInd w:val="0"/>
        <w:rPr>
          <w:lang w:val="en-US" w:eastAsia="en-US"/>
        </w:rPr>
      </w:pPr>
    </w:p>
    <w:p w14:paraId="60152A96" w14:textId="3434DD96" w:rsidR="009300B5" w:rsidRDefault="007E16A5" w:rsidP="006732AE">
      <w:pPr>
        <w:pStyle w:val="ListParagraph"/>
        <w:widowControl w:val="0"/>
        <w:autoSpaceDE w:val="0"/>
        <w:autoSpaceDN w:val="0"/>
        <w:adjustRightInd w:val="0"/>
        <w:spacing w:line="280" w:lineRule="exact"/>
        <w:ind w:left="0"/>
        <w:rPr>
          <w:lang w:val="en-US" w:eastAsia="en-US"/>
        </w:rPr>
      </w:pPr>
      <w:r>
        <w:rPr>
          <w:lang w:val="en-US" w:eastAsia="en-US"/>
        </w:rPr>
        <w:t xml:space="preserve">The radiative heat flux from a hot surface at temperature </w:t>
      </w:r>
      <w:r w:rsidRPr="00677563">
        <w:rPr>
          <w:i/>
          <w:lang w:val="en-US" w:eastAsia="en-US"/>
        </w:rPr>
        <w:t>T</w:t>
      </w:r>
      <w:r w:rsidR="00846484" w:rsidRPr="00846484">
        <w:rPr>
          <w:i/>
          <w:position w:val="-4"/>
          <w:vertAlign w:val="subscript"/>
          <w:lang w:val="en-US" w:eastAsia="en-US"/>
        </w:rPr>
        <w:t>surf</w:t>
      </w:r>
      <w:r w:rsidR="00846484">
        <w:rPr>
          <w:lang w:val="en-US" w:eastAsia="en-US"/>
        </w:rPr>
        <w:t xml:space="preserve"> in</w:t>
      </w:r>
      <w:r>
        <w:rPr>
          <w:lang w:val="en-US" w:eastAsia="en-US"/>
        </w:rPr>
        <w:t xml:space="preserve"> an environment having temperature </w:t>
      </w:r>
      <w:r w:rsidRPr="00677563">
        <w:rPr>
          <w:i/>
          <w:lang w:val="en-US" w:eastAsia="en-US"/>
        </w:rPr>
        <w:t>T</w:t>
      </w:r>
      <w:r w:rsidRPr="00677563">
        <w:rPr>
          <w:i/>
          <w:position w:val="-4"/>
          <w:vertAlign w:val="subscript"/>
          <w:lang w:val="en-US" w:eastAsia="en-US"/>
        </w:rPr>
        <w:t>a</w:t>
      </w:r>
      <w:r>
        <w:rPr>
          <w:lang w:val="en-US" w:eastAsia="en-US"/>
        </w:rPr>
        <w:t xml:space="preserve"> is given</w:t>
      </w:r>
      <w:r w:rsidR="0040638F">
        <w:rPr>
          <w:lang w:val="en-US" w:eastAsia="en-US"/>
        </w:rPr>
        <w:t>, per unit surface area,</w:t>
      </w:r>
      <w:r>
        <w:rPr>
          <w:lang w:val="en-US" w:eastAsia="en-US"/>
        </w:rPr>
        <w:t xml:space="preserve"> by </w:t>
      </w:r>
    </w:p>
    <w:p w14:paraId="71BBB3E1" w14:textId="77777777" w:rsidR="006732AE" w:rsidRDefault="006732AE" w:rsidP="006732AE">
      <w:pPr>
        <w:pStyle w:val="ListParagraph"/>
        <w:widowControl w:val="0"/>
        <w:autoSpaceDE w:val="0"/>
        <w:autoSpaceDN w:val="0"/>
        <w:adjustRightInd w:val="0"/>
        <w:ind w:left="0"/>
        <w:rPr>
          <w:lang w:val="en-US" w:eastAsia="en-US"/>
        </w:rPr>
      </w:pPr>
    </w:p>
    <w:p w14:paraId="270F94B9" w14:textId="617D6352" w:rsidR="007E16A5" w:rsidRDefault="00846484" w:rsidP="006732AE">
      <w:pPr>
        <w:pStyle w:val="ListParagraph"/>
        <w:widowControl w:val="0"/>
        <w:autoSpaceDE w:val="0"/>
        <w:autoSpaceDN w:val="0"/>
        <w:adjustRightInd w:val="0"/>
        <w:ind w:left="0"/>
        <w:rPr>
          <w:lang w:val="en-US" w:eastAsia="en-US"/>
        </w:rPr>
      </w:pPr>
      <w:r w:rsidRPr="007E16A5">
        <w:rPr>
          <w:position w:val="-18"/>
          <w:lang w:val="en-US" w:eastAsia="en-US"/>
        </w:rPr>
        <w:object w:dxaOrig="1940" w:dyaOrig="460" w14:anchorId="240F83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97pt;height:23pt" o:ole="">
            <v:imagedata r:id="rId8" o:title=""/>
          </v:shape>
          <o:OLEObject Type="Embed" ProgID="Equation.3" ShapeID="_x0000_i1118" DrawAspect="Content" ObjectID="_1285930683" r:id="rId9"/>
        </w:object>
      </w:r>
      <w:r w:rsidR="0040638F">
        <w:rPr>
          <w:lang w:val="en-US" w:eastAsia="en-US"/>
        </w:rPr>
        <w:t xml:space="preserve"> ,</w:t>
      </w:r>
    </w:p>
    <w:p w14:paraId="48F0AB76" w14:textId="77777777" w:rsidR="006732AE" w:rsidRPr="0040638F" w:rsidRDefault="006732AE" w:rsidP="006732AE">
      <w:pPr>
        <w:pStyle w:val="ListParagraph"/>
        <w:widowControl w:val="0"/>
        <w:autoSpaceDE w:val="0"/>
        <w:autoSpaceDN w:val="0"/>
        <w:adjustRightInd w:val="0"/>
        <w:ind w:left="0"/>
        <w:rPr>
          <w:lang w:val="en-US" w:eastAsia="en-US"/>
        </w:rPr>
      </w:pPr>
    </w:p>
    <w:p w14:paraId="1BC93F4C" w14:textId="770A28F4" w:rsidR="007E16A5" w:rsidRDefault="007E16A5" w:rsidP="006732AE">
      <w:pPr>
        <w:pStyle w:val="ListParagraph"/>
        <w:widowControl w:val="0"/>
        <w:autoSpaceDE w:val="0"/>
        <w:autoSpaceDN w:val="0"/>
        <w:adjustRightInd w:val="0"/>
        <w:ind w:left="0"/>
        <w:rPr>
          <w:lang w:val="en-US" w:eastAsia="en-US"/>
        </w:rPr>
      </w:pPr>
      <w:r>
        <w:rPr>
          <w:lang w:val="en-US" w:eastAsia="en-US"/>
        </w:rPr>
        <w:t xml:space="preserve">in which </w:t>
      </w:r>
      <w:r w:rsidRPr="007E16A5">
        <w:rPr>
          <w:rFonts w:ascii="Symbol" w:hAnsi="Symbol"/>
          <w:i/>
          <w:lang w:val="en-US" w:eastAsia="en-US"/>
        </w:rPr>
        <w:t></w:t>
      </w:r>
      <w:r>
        <w:rPr>
          <w:lang w:val="en-US" w:eastAsia="en-US"/>
        </w:rPr>
        <w:t xml:space="preserve"> is the emissivity of the hot body </w:t>
      </w:r>
      <w:r w:rsidR="00E63E52">
        <w:rPr>
          <w:lang w:val="en-US" w:eastAsia="en-US"/>
        </w:rPr>
        <w:t xml:space="preserve">(typically ~0.9 for a lava surface) </w:t>
      </w:r>
      <w:r>
        <w:rPr>
          <w:lang w:val="en-US" w:eastAsia="en-US"/>
        </w:rPr>
        <w:t xml:space="preserve">and </w:t>
      </w:r>
      <w:r w:rsidRPr="007E16A5">
        <w:rPr>
          <w:rFonts w:ascii="Symbol" w:hAnsi="Symbol"/>
          <w:i/>
          <w:lang w:val="en-US" w:eastAsia="en-US"/>
        </w:rPr>
        <w:t></w:t>
      </w:r>
      <w:r>
        <w:rPr>
          <w:lang w:val="en-US" w:eastAsia="en-US"/>
        </w:rPr>
        <w:t xml:space="preserve"> is the Stefan-Boltzmann constant (5.67 x 10</w:t>
      </w:r>
      <w:r w:rsidRPr="007E16A5">
        <w:rPr>
          <w:vertAlign w:val="superscript"/>
          <w:lang w:val="en-US" w:eastAsia="en-US"/>
        </w:rPr>
        <w:t>-8</w:t>
      </w:r>
      <w:r>
        <w:rPr>
          <w:lang w:val="en-US" w:eastAsia="en-US"/>
        </w:rPr>
        <w:t xml:space="preserve"> W m</w:t>
      </w:r>
      <w:r w:rsidRPr="007E16A5">
        <w:rPr>
          <w:vertAlign w:val="superscript"/>
          <w:lang w:val="en-US" w:eastAsia="en-US"/>
        </w:rPr>
        <w:t>-2</w:t>
      </w:r>
      <w:r>
        <w:rPr>
          <w:lang w:val="en-US" w:eastAsia="en-US"/>
        </w:rPr>
        <w:t xml:space="preserve"> K</w:t>
      </w:r>
      <w:r w:rsidRPr="007E16A5">
        <w:rPr>
          <w:vertAlign w:val="superscript"/>
          <w:lang w:val="en-US" w:eastAsia="en-US"/>
        </w:rPr>
        <w:t>-4</w:t>
      </w:r>
      <w:r>
        <w:rPr>
          <w:lang w:val="en-US" w:eastAsia="en-US"/>
        </w:rPr>
        <w:t>).</w:t>
      </w:r>
    </w:p>
    <w:p w14:paraId="53EE96EC" w14:textId="77777777" w:rsidR="006732AE" w:rsidRDefault="006732AE" w:rsidP="006732AE">
      <w:pPr>
        <w:pStyle w:val="ListParagraph"/>
        <w:widowControl w:val="0"/>
        <w:autoSpaceDE w:val="0"/>
        <w:autoSpaceDN w:val="0"/>
        <w:adjustRightInd w:val="0"/>
        <w:ind w:left="0"/>
        <w:rPr>
          <w:lang w:val="en-US" w:eastAsia="en-US"/>
        </w:rPr>
      </w:pPr>
    </w:p>
    <w:p w14:paraId="2DA8B64B" w14:textId="69FA731D" w:rsidR="00677563" w:rsidRDefault="00677563" w:rsidP="006732AE">
      <w:pPr>
        <w:pStyle w:val="ListParagraph"/>
        <w:widowControl w:val="0"/>
        <w:autoSpaceDE w:val="0"/>
        <w:autoSpaceDN w:val="0"/>
        <w:adjustRightInd w:val="0"/>
        <w:ind w:left="0"/>
        <w:rPr>
          <w:lang w:val="en-US" w:eastAsia="en-US"/>
        </w:rPr>
      </w:pPr>
      <w:r>
        <w:rPr>
          <w:lang w:val="en-US" w:eastAsia="en-US"/>
        </w:rPr>
        <w:t xml:space="preserve">The convective heat flux </w:t>
      </w:r>
      <w:r w:rsidR="0040638F">
        <w:rPr>
          <w:lang w:val="en-US" w:eastAsia="en-US"/>
        </w:rPr>
        <w:t xml:space="preserve">from a hot surface </w:t>
      </w:r>
      <w:r>
        <w:rPr>
          <w:lang w:val="en-US" w:eastAsia="en-US"/>
        </w:rPr>
        <w:t xml:space="preserve">due to the presence of atmospheric gases is given </w:t>
      </w:r>
      <w:r w:rsidR="0040638F">
        <w:rPr>
          <w:lang w:val="en-US" w:eastAsia="en-US"/>
        </w:rPr>
        <w:t xml:space="preserve">per unit surface area </w:t>
      </w:r>
      <w:r>
        <w:rPr>
          <w:lang w:val="en-US" w:eastAsia="en-US"/>
        </w:rPr>
        <w:t>by</w:t>
      </w:r>
    </w:p>
    <w:p w14:paraId="0320B966" w14:textId="77777777" w:rsidR="006732AE" w:rsidRDefault="006732AE" w:rsidP="006732AE">
      <w:pPr>
        <w:pStyle w:val="ListParagraph"/>
        <w:widowControl w:val="0"/>
        <w:autoSpaceDE w:val="0"/>
        <w:autoSpaceDN w:val="0"/>
        <w:adjustRightInd w:val="0"/>
        <w:ind w:left="0"/>
        <w:rPr>
          <w:lang w:val="en-US" w:eastAsia="en-US"/>
        </w:rPr>
      </w:pPr>
    </w:p>
    <w:p w14:paraId="3C66153E" w14:textId="2DD0ACCF" w:rsidR="00677563" w:rsidRDefault="00846484" w:rsidP="006732AE">
      <w:pPr>
        <w:pStyle w:val="ListParagraph"/>
        <w:widowControl w:val="0"/>
        <w:autoSpaceDE w:val="0"/>
        <w:autoSpaceDN w:val="0"/>
        <w:adjustRightInd w:val="0"/>
        <w:ind w:left="0"/>
        <w:rPr>
          <w:lang w:val="en-US" w:eastAsia="en-US"/>
        </w:rPr>
      </w:pPr>
      <w:r w:rsidRPr="00846484">
        <w:rPr>
          <w:position w:val="-18"/>
          <w:lang w:val="en-US" w:eastAsia="en-US"/>
        </w:rPr>
        <w:object w:dxaOrig="1920" w:dyaOrig="460" w14:anchorId="4BDBF3D6">
          <v:shape id="_x0000_i1119" type="#_x0000_t75" style="width:96pt;height:23pt" o:ole="">
            <v:imagedata r:id="rId10" o:title=""/>
          </v:shape>
          <o:OLEObject Type="Embed" ProgID="Equation.3" ShapeID="_x0000_i1119" DrawAspect="Content" ObjectID="_1285930684" r:id="rId11"/>
        </w:object>
      </w:r>
      <w:r w:rsidR="0040638F">
        <w:rPr>
          <w:lang w:val="en-US" w:eastAsia="en-US"/>
        </w:rPr>
        <w:t xml:space="preserve"> </w:t>
      </w:r>
      <w:r w:rsidR="0040638F" w:rsidRPr="00846484">
        <w:rPr>
          <w:lang w:val="en-US" w:eastAsia="en-US"/>
        </w:rPr>
        <w:t>,</w:t>
      </w:r>
    </w:p>
    <w:p w14:paraId="1975337B" w14:textId="77777777" w:rsidR="006732AE" w:rsidRPr="00846484" w:rsidRDefault="006732AE" w:rsidP="006732AE">
      <w:pPr>
        <w:pStyle w:val="ListParagraph"/>
        <w:widowControl w:val="0"/>
        <w:autoSpaceDE w:val="0"/>
        <w:autoSpaceDN w:val="0"/>
        <w:adjustRightInd w:val="0"/>
        <w:ind w:left="0"/>
        <w:rPr>
          <w:lang w:val="en-US" w:eastAsia="en-US"/>
        </w:rPr>
      </w:pPr>
    </w:p>
    <w:p w14:paraId="70C11BFD" w14:textId="47FC0951" w:rsidR="00677563" w:rsidRDefault="00677563" w:rsidP="006732AE">
      <w:pPr>
        <w:pStyle w:val="ListParagraph"/>
        <w:widowControl w:val="0"/>
        <w:autoSpaceDE w:val="0"/>
        <w:autoSpaceDN w:val="0"/>
        <w:adjustRightInd w:val="0"/>
        <w:ind w:left="0"/>
        <w:contextualSpacing w:val="0"/>
        <w:rPr>
          <w:lang w:val="en-US" w:eastAsia="en-US"/>
        </w:rPr>
      </w:pPr>
      <w:r w:rsidRPr="00677563">
        <w:rPr>
          <w:lang w:val="en-US" w:eastAsia="en-US"/>
        </w:rPr>
        <w:t xml:space="preserve">where </w:t>
      </w:r>
      <w:r w:rsidRPr="00677563">
        <w:rPr>
          <w:i/>
          <w:lang w:val="en-US" w:eastAsia="en-US"/>
        </w:rPr>
        <w:t>h</w:t>
      </w:r>
      <w:r w:rsidRPr="00677563">
        <w:rPr>
          <w:i/>
          <w:iCs/>
          <w:position w:val="-4"/>
          <w:vertAlign w:val="subscript"/>
          <w:lang w:val="en-US" w:eastAsia="en-US"/>
        </w:rPr>
        <w:t>c</w:t>
      </w:r>
      <w:r w:rsidRPr="00677563">
        <w:rPr>
          <w:lang w:val="en-US" w:eastAsia="en-US"/>
        </w:rPr>
        <w:t xml:space="preserve"> is the convective heat transfer coefficient, given by</w:t>
      </w:r>
    </w:p>
    <w:p w14:paraId="4044BCB8" w14:textId="77777777" w:rsidR="006732AE" w:rsidRPr="00677563" w:rsidRDefault="006732AE" w:rsidP="006732AE">
      <w:pPr>
        <w:pStyle w:val="ListParagraph"/>
        <w:widowControl w:val="0"/>
        <w:autoSpaceDE w:val="0"/>
        <w:autoSpaceDN w:val="0"/>
        <w:adjustRightInd w:val="0"/>
        <w:ind w:left="0"/>
        <w:contextualSpacing w:val="0"/>
        <w:rPr>
          <w:lang w:val="en-US" w:eastAsia="en-US"/>
        </w:rPr>
      </w:pPr>
    </w:p>
    <w:p w14:paraId="3B5BB358" w14:textId="4AF599AF" w:rsidR="00677563" w:rsidRDefault="00677563" w:rsidP="006732AE">
      <w:pPr>
        <w:pStyle w:val="ListParagraph"/>
        <w:widowControl w:val="0"/>
        <w:autoSpaceDE w:val="0"/>
        <w:autoSpaceDN w:val="0"/>
        <w:adjustRightInd w:val="0"/>
        <w:ind w:left="0"/>
        <w:contextualSpacing w:val="0"/>
        <w:rPr>
          <w:lang w:val="en-US" w:eastAsia="en-US"/>
        </w:rPr>
      </w:pPr>
      <w:r w:rsidRPr="00677563">
        <w:rPr>
          <w:b/>
          <w:position w:val="-24"/>
          <w:lang w:val="en-US" w:eastAsia="en-US"/>
        </w:rPr>
        <w:object w:dxaOrig="1040" w:dyaOrig="620" w14:anchorId="2AFE33CE">
          <v:shape id="_x0000_i1120" type="#_x0000_t75" style="width:52pt;height:31pt" o:ole="">
            <v:imagedata r:id="rId12" o:title=""/>
          </v:shape>
          <o:OLEObject Type="Embed" ProgID="Equation.3" ShapeID="_x0000_i1120" DrawAspect="Content" ObjectID="_1285930685" r:id="rId13"/>
        </w:object>
      </w:r>
      <w:r w:rsidRPr="00677563">
        <w:rPr>
          <w:lang w:val="en-US" w:eastAsia="en-US"/>
        </w:rPr>
        <w:t>.</w:t>
      </w:r>
    </w:p>
    <w:p w14:paraId="2808B0D1" w14:textId="77777777" w:rsidR="006732AE" w:rsidRPr="00677563" w:rsidRDefault="006732AE" w:rsidP="006732AE">
      <w:pPr>
        <w:pStyle w:val="ListParagraph"/>
        <w:widowControl w:val="0"/>
        <w:autoSpaceDE w:val="0"/>
        <w:autoSpaceDN w:val="0"/>
        <w:adjustRightInd w:val="0"/>
        <w:ind w:left="0"/>
        <w:contextualSpacing w:val="0"/>
        <w:rPr>
          <w:lang w:val="en-US" w:eastAsia="en-US"/>
        </w:rPr>
      </w:pPr>
    </w:p>
    <w:p w14:paraId="180A7044" w14:textId="646317E6" w:rsidR="00677563" w:rsidRDefault="00677563" w:rsidP="006732AE">
      <w:pPr>
        <w:pStyle w:val="ListParagraph"/>
        <w:widowControl w:val="0"/>
        <w:autoSpaceDE w:val="0"/>
        <w:autoSpaceDN w:val="0"/>
        <w:adjustRightInd w:val="0"/>
        <w:ind w:left="0"/>
        <w:contextualSpacing w:val="0"/>
        <w:rPr>
          <w:lang w:val="en-US" w:eastAsia="en-US"/>
        </w:rPr>
      </w:pPr>
      <w:r w:rsidRPr="00677563">
        <w:rPr>
          <w:lang w:val="en-US" w:eastAsia="en-US"/>
        </w:rPr>
        <w:t>Here</w:t>
      </w:r>
      <w:r>
        <w:rPr>
          <w:lang w:val="en-US" w:eastAsia="en-US"/>
        </w:rPr>
        <w:t xml:space="preserve">, </w:t>
      </w:r>
      <w:r w:rsidRPr="00677563">
        <w:rPr>
          <w:i/>
          <w:lang w:val="en-US" w:eastAsia="en-US"/>
        </w:rPr>
        <w:t>k</w:t>
      </w:r>
      <w:r w:rsidRPr="00677563">
        <w:rPr>
          <w:i/>
          <w:iCs/>
          <w:position w:val="-4"/>
          <w:vertAlign w:val="subscript"/>
          <w:lang w:val="en-US" w:eastAsia="en-US"/>
        </w:rPr>
        <w:t>a</w:t>
      </w:r>
      <w:r>
        <w:rPr>
          <w:lang w:val="en-US" w:eastAsia="en-US"/>
        </w:rPr>
        <w:t xml:space="preserve"> is the thermal conductivity of the mixture of atmospheric gases, and </w:t>
      </w:r>
      <w:r w:rsidRPr="00677563">
        <w:rPr>
          <w:i/>
          <w:lang w:val="en-US" w:eastAsia="en-US"/>
        </w:rPr>
        <w:t>L</w:t>
      </w:r>
      <w:r>
        <w:rPr>
          <w:lang w:val="en-US" w:eastAsia="en-US"/>
        </w:rPr>
        <w:t xml:space="preserve"> is the length scale of the cooling body.  </w:t>
      </w:r>
    </w:p>
    <w:p w14:paraId="707410D3" w14:textId="77777777" w:rsidR="006732AE" w:rsidRDefault="006732AE" w:rsidP="006732AE">
      <w:pPr>
        <w:pStyle w:val="ListParagraph"/>
        <w:widowControl w:val="0"/>
        <w:autoSpaceDE w:val="0"/>
        <w:autoSpaceDN w:val="0"/>
        <w:adjustRightInd w:val="0"/>
        <w:ind w:left="0"/>
        <w:contextualSpacing w:val="0"/>
        <w:rPr>
          <w:lang w:val="en-US" w:eastAsia="en-US"/>
        </w:rPr>
      </w:pPr>
    </w:p>
    <w:p w14:paraId="737A0A8B" w14:textId="2D24502A" w:rsidR="0040638F" w:rsidRDefault="00677563" w:rsidP="006732AE">
      <w:pPr>
        <w:pStyle w:val="ListParagraph"/>
        <w:widowControl w:val="0"/>
        <w:autoSpaceDE w:val="0"/>
        <w:autoSpaceDN w:val="0"/>
        <w:adjustRightInd w:val="0"/>
        <w:ind w:left="0"/>
        <w:contextualSpacing w:val="0"/>
        <w:rPr>
          <w:lang w:val="en-US" w:eastAsia="en-US"/>
        </w:rPr>
      </w:pPr>
      <w:r>
        <w:rPr>
          <w:lang w:val="en-US" w:eastAsia="en-US"/>
        </w:rPr>
        <w:t xml:space="preserve">For </w:t>
      </w:r>
      <w:r w:rsidRPr="00846484">
        <w:rPr>
          <w:i/>
          <w:u w:val="single"/>
          <w:lang w:val="en-US" w:eastAsia="en-US"/>
        </w:rPr>
        <w:t>f</w:t>
      </w:r>
      <w:r w:rsidR="0040638F" w:rsidRPr="00846484">
        <w:rPr>
          <w:i/>
          <w:u w:val="single"/>
          <w:lang w:val="en-US" w:eastAsia="en-US"/>
        </w:rPr>
        <w:t>ree</w:t>
      </w:r>
      <w:r w:rsidRPr="00846484">
        <w:rPr>
          <w:u w:val="single"/>
          <w:lang w:val="en-US" w:eastAsia="en-US"/>
        </w:rPr>
        <w:t xml:space="preserve"> convection</w:t>
      </w:r>
      <w:r w:rsidR="0040638F">
        <w:rPr>
          <w:lang w:val="en-US" w:eastAsia="en-US"/>
        </w:rPr>
        <w:t xml:space="preserve"> (i.e., in the absence of wind), the Nusselt number Nu is given by</w:t>
      </w:r>
    </w:p>
    <w:p w14:paraId="2FB652C2" w14:textId="77777777" w:rsidR="006732AE" w:rsidRDefault="006732AE" w:rsidP="006732AE">
      <w:pPr>
        <w:pStyle w:val="ListParagraph"/>
        <w:widowControl w:val="0"/>
        <w:autoSpaceDE w:val="0"/>
        <w:autoSpaceDN w:val="0"/>
        <w:adjustRightInd w:val="0"/>
        <w:ind w:left="0"/>
        <w:contextualSpacing w:val="0"/>
        <w:rPr>
          <w:lang w:val="en-US" w:eastAsia="en-US"/>
        </w:rPr>
      </w:pPr>
    </w:p>
    <w:p w14:paraId="2BF37580" w14:textId="39825B7D" w:rsidR="0040638F" w:rsidRDefault="0040638F" w:rsidP="006732AE">
      <w:pPr>
        <w:pStyle w:val="ListParagraph"/>
        <w:widowControl w:val="0"/>
        <w:autoSpaceDE w:val="0"/>
        <w:autoSpaceDN w:val="0"/>
        <w:adjustRightInd w:val="0"/>
        <w:ind w:left="0"/>
        <w:contextualSpacing w:val="0"/>
        <w:rPr>
          <w:lang w:val="en-US" w:eastAsia="en-US"/>
        </w:rPr>
      </w:pPr>
      <w:r w:rsidRPr="00677563">
        <w:rPr>
          <w:position w:val="-10"/>
          <w:lang w:val="en-US" w:eastAsia="en-US"/>
        </w:rPr>
        <w:object w:dxaOrig="3100" w:dyaOrig="360" w14:anchorId="4898C57F">
          <v:shape id="_x0000_i1121" type="#_x0000_t75" style="width:155pt;height:18pt" o:ole="">
            <v:imagedata r:id="rId14" o:title=""/>
          </v:shape>
          <o:OLEObject Type="Embed" ProgID="Equation.3" ShapeID="_x0000_i1121" DrawAspect="Content" ObjectID="_1285930686" r:id="rId15"/>
        </w:object>
      </w:r>
      <w:r>
        <w:rPr>
          <w:lang w:val="en-US" w:eastAsia="en-US"/>
        </w:rPr>
        <w:t xml:space="preserve"> ,</w:t>
      </w:r>
    </w:p>
    <w:p w14:paraId="0091A9BB" w14:textId="77777777" w:rsidR="006732AE" w:rsidRDefault="006732AE" w:rsidP="006732AE">
      <w:pPr>
        <w:pStyle w:val="ListParagraph"/>
        <w:widowControl w:val="0"/>
        <w:autoSpaceDE w:val="0"/>
        <w:autoSpaceDN w:val="0"/>
        <w:adjustRightInd w:val="0"/>
        <w:ind w:left="0"/>
        <w:contextualSpacing w:val="0"/>
        <w:rPr>
          <w:lang w:val="en-US" w:eastAsia="en-US"/>
        </w:rPr>
      </w:pPr>
    </w:p>
    <w:p w14:paraId="35EF84D8" w14:textId="7BDA1242" w:rsidR="0040638F" w:rsidRDefault="0040638F" w:rsidP="006732AE">
      <w:pPr>
        <w:pStyle w:val="ListParagraph"/>
        <w:widowControl w:val="0"/>
        <w:autoSpaceDE w:val="0"/>
        <w:autoSpaceDN w:val="0"/>
        <w:adjustRightInd w:val="0"/>
        <w:ind w:left="0"/>
        <w:contextualSpacing w:val="0"/>
        <w:rPr>
          <w:lang w:val="en-US" w:eastAsia="en-US"/>
        </w:rPr>
      </w:pPr>
      <w:r>
        <w:rPr>
          <w:lang w:val="en-US" w:eastAsia="en-US"/>
        </w:rPr>
        <w:t>where Ra, Gr, and Pr are, respectively, the Rayleigh, Grashof, and Prandtl numbers.</w:t>
      </w:r>
    </w:p>
    <w:p w14:paraId="6F2928D2" w14:textId="77777777" w:rsidR="006732AE" w:rsidRDefault="006732AE" w:rsidP="006732AE">
      <w:pPr>
        <w:pStyle w:val="ListParagraph"/>
        <w:widowControl w:val="0"/>
        <w:autoSpaceDE w:val="0"/>
        <w:autoSpaceDN w:val="0"/>
        <w:adjustRightInd w:val="0"/>
        <w:ind w:left="0"/>
        <w:contextualSpacing w:val="0"/>
        <w:rPr>
          <w:lang w:val="en-US" w:eastAsia="en-US"/>
        </w:rPr>
      </w:pPr>
    </w:p>
    <w:p w14:paraId="40C8280A" w14:textId="1B6FBC83" w:rsidR="0040638F" w:rsidRDefault="0040638F" w:rsidP="006732AE">
      <w:pPr>
        <w:pStyle w:val="ListParagraph"/>
        <w:widowControl w:val="0"/>
        <w:autoSpaceDE w:val="0"/>
        <w:autoSpaceDN w:val="0"/>
        <w:adjustRightInd w:val="0"/>
        <w:ind w:left="0"/>
        <w:contextualSpacing w:val="0"/>
        <w:rPr>
          <w:lang w:val="en-US" w:eastAsia="en-US"/>
        </w:rPr>
      </w:pPr>
      <w:r>
        <w:rPr>
          <w:lang w:val="en-US" w:eastAsia="en-US"/>
        </w:rPr>
        <w:t xml:space="preserve">The Prandtl number </w:t>
      </w:r>
      <w:r w:rsidR="00846484">
        <w:rPr>
          <w:lang w:val="en-US" w:eastAsia="en-US"/>
        </w:rPr>
        <w:t xml:space="preserve">(ratio of momentum diffusivity to thermal diffusivity) </w:t>
      </w:r>
      <w:r>
        <w:rPr>
          <w:lang w:val="en-US" w:eastAsia="en-US"/>
        </w:rPr>
        <w:t>is given by</w:t>
      </w:r>
    </w:p>
    <w:p w14:paraId="191001D8" w14:textId="77777777" w:rsidR="006732AE" w:rsidRDefault="006732AE" w:rsidP="006732AE">
      <w:pPr>
        <w:pStyle w:val="ListParagraph"/>
        <w:widowControl w:val="0"/>
        <w:autoSpaceDE w:val="0"/>
        <w:autoSpaceDN w:val="0"/>
        <w:adjustRightInd w:val="0"/>
        <w:ind w:left="0"/>
        <w:contextualSpacing w:val="0"/>
        <w:rPr>
          <w:lang w:val="en-US" w:eastAsia="en-US"/>
        </w:rPr>
      </w:pPr>
    </w:p>
    <w:p w14:paraId="59B4CBBE" w14:textId="09782703" w:rsidR="0040638F" w:rsidRDefault="0040638F" w:rsidP="006732AE">
      <w:pPr>
        <w:pStyle w:val="ListParagraph"/>
        <w:widowControl w:val="0"/>
        <w:autoSpaceDE w:val="0"/>
        <w:autoSpaceDN w:val="0"/>
        <w:adjustRightInd w:val="0"/>
        <w:ind w:left="0"/>
        <w:contextualSpacing w:val="0"/>
        <w:rPr>
          <w:lang w:val="en-US" w:eastAsia="en-US"/>
        </w:rPr>
      </w:pPr>
      <w:r w:rsidRPr="00677563">
        <w:rPr>
          <w:position w:val="-30"/>
          <w:lang w:val="en-US" w:eastAsia="en-US"/>
        </w:rPr>
        <w:object w:dxaOrig="800" w:dyaOrig="680" w14:anchorId="27DD650A">
          <v:shape id="_x0000_i1122" type="#_x0000_t75" style="width:40pt;height:34pt" o:ole="">
            <v:imagedata r:id="rId16" o:title=""/>
          </v:shape>
          <o:OLEObject Type="Embed" ProgID="Equation.3" ShapeID="_x0000_i1122" DrawAspect="Content" ObjectID="_1285930687" r:id="rId17"/>
        </w:object>
      </w:r>
      <w:r>
        <w:rPr>
          <w:lang w:val="en-US" w:eastAsia="en-US"/>
        </w:rPr>
        <w:t xml:space="preserve"> ,</w:t>
      </w:r>
    </w:p>
    <w:p w14:paraId="16237CBC" w14:textId="77777777" w:rsidR="006732AE" w:rsidRDefault="006732AE" w:rsidP="006732AE">
      <w:pPr>
        <w:pStyle w:val="ListParagraph"/>
        <w:widowControl w:val="0"/>
        <w:autoSpaceDE w:val="0"/>
        <w:autoSpaceDN w:val="0"/>
        <w:adjustRightInd w:val="0"/>
        <w:ind w:left="0"/>
        <w:contextualSpacing w:val="0"/>
        <w:rPr>
          <w:lang w:val="en-US" w:eastAsia="en-US"/>
        </w:rPr>
      </w:pPr>
    </w:p>
    <w:p w14:paraId="07F91623" w14:textId="1269EE07" w:rsidR="0040638F" w:rsidRDefault="0040638F" w:rsidP="006732AE">
      <w:pPr>
        <w:pStyle w:val="ListParagraph"/>
        <w:widowControl w:val="0"/>
        <w:autoSpaceDE w:val="0"/>
        <w:autoSpaceDN w:val="0"/>
        <w:adjustRightInd w:val="0"/>
        <w:ind w:left="0"/>
        <w:contextualSpacing w:val="0"/>
        <w:rPr>
          <w:lang w:val="en-US" w:eastAsia="en-US"/>
        </w:rPr>
      </w:pPr>
      <w:r>
        <w:rPr>
          <w:lang w:val="en-US" w:eastAsia="en-US"/>
        </w:rPr>
        <w:t xml:space="preserve">where </w:t>
      </w:r>
      <w:r w:rsidRPr="00677563">
        <w:rPr>
          <w:rFonts w:ascii="Symbol" w:hAnsi="Symbol"/>
          <w:i/>
          <w:lang w:val="en-US" w:eastAsia="en-US"/>
        </w:rPr>
        <w:t></w:t>
      </w:r>
      <w:r w:rsidRPr="00677563">
        <w:rPr>
          <w:i/>
          <w:iCs/>
          <w:position w:val="-4"/>
          <w:vertAlign w:val="subscript"/>
          <w:lang w:val="en-US" w:eastAsia="en-US"/>
        </w:rPr>
        <w:t>a</w:t>
      </w:r>
      <w:r>
        <w:rPr>
          <w:lang w:val="en-US" w:eastAsia="en-US"/>
        </w:rPr>
        <w:t xml:space="preserve"> is the atmospher</w:t>
      </w:r>
      <w:r w:rsidR="00846484">
        <w:rPr>
          <w:lang w:val="en-US" w:eastAsia="en-US"/>
        </w:rPr>
        <w:t>ic</w:t>
      </w:r>
      <w:r>
        <w:rPr>
          <w:lang w:val="en-US" w:eastAsia="en-US"/>
        </w:rPr>
        <w:t xml:space="preserve"> kinematic viscosity (</w:t>
      </w:r>
      <w:r w:rsidRPr="00677563">
        <w:rPr>
          <w:rFonts w:ascii="Symbol" w:hAnsi="Symbol"/>
          <w:i/>
          <w:lang w:val="en-US" w:eastAsia="en-US"/>
        </w:rPr>
        <w:t></w:t>
      </w:r>
      <w:r w:rsidRPr="00677563">
        <w:rPr>
          <w:i/>
          <w:iCs/>
          <w:position w:val="-4"/>
          <w:vertAlign w:val="subscript"/>
          <w:lang w:val="en-US" w:eastAsia="en-US"/>
        </w:rPr>
        <w:t>a</w:t>
      </w:r>
      <w:r>
        <w:rPr>
          <w:lang w:val="en-US" w:eastAsia="en-US"/>
        </w:rPr>
        <w:t xml:space="preserve"> = </w:t>
      </w:r>
      <w:r w:rsidRPr="00677563">
        <w:rPr>
          <w:rFonts w:ascii="Symbol" w:hAnsi="Symbol"/>
          <w:i/>
          <w:lang w:val="en-US" w:eastAsia="en-US"/>
        </w:rPr>
        <w:t></w:t>
      </w:r>
      <w:r w:rsidRPr="00677563">
        <w:rPr>
          <w:i/>
          <w:iCs/>
          <w:position w:val="-4"/>
          <w:vertAlign w:val="subscript"/>
          <w:lang w:val="en-US" w:eastAsia="en-US"/>
        </w:rPr>
        <w:t>a</w:t>
      </w:r>
      <w:r>
        <w:rPr>
          <w:lang w:val="en-US" w:eastAsia="en-US"/>
        </w:rPr>
        <w:t>/</w:t>
      </w:r>
      <w:r w:rsidRPr="00677563">
        <w:rPr>
          <w:rFonts w:ascii="Symbol" w:hAnsi="Symbol"/>
          <w:i/>
          <w:lang w:val="en-US" w:eastAsia="en-US"/>
        </w:rPr>
        <w:t></w:t>
      </w:r>
      <w:r w:rsidRPr="00677563">
        <w:rPr>
          <w:i/>
          <w:iCs/>
          <w:position w:val="-4"/>
          <w:vertAlign w:val="subscript"/>
          <w:lang w:val="en-US" w:eastAsia="en-US"/>
        </w:rPr>
        <w:t>a</w:t>
      </w:r>
      <w:r>
        <w:rPr>
          <w:lang w:val="en-US" w:eastAsia="en-US"/>
        </w:rPr>
        <w:t xml:space="preserve">), and </w:t>
      </w:r>
      <w:r w:rsidRPr="00AE0AB2">
        <w:rPr>
          <w:rFonts w:ascii="Symbol" w:hAnsi="Symbol"/>
          <w:i/>
          <w:lang w:val="en-US" w:eastAsia="en-US"/>
        </w:rPr>
        <w:t></w:t>
      </w:r>
      <w:r w:rsidRPr="00677563">
        <w:rPr>
          <w:i/>
          <w:iCs/>
          <w:position w:val="-4"/>
          <w:vertAlign w:val="subscript"/>
          <w:lang w:val="en-US" w:eastAsia="en-US"/>
        </w:rPr>
        <w:t>a</w:t>
      </w:r>
      <w:r>
        <w:rPr>
          <w:lang w:val="en-US" w:eastAsia="en-US"/>
        </w:rPr>
        <w:t xml:space="preserve"> is the atmospheric thermal diffusivity (</w:t>
      </w:r>
      <w:r w:rsidRPr="00AE0AB2">
        <w:rPr>
          <w:rFonts w:ascii="Symbol" w:hAnsi="Symbol"/>
          <w:i/>
          <w:lang w:val="en-US" w:eastAsia="en-US"/>
        </w:rPr>
        <w:t></w:t>
      </w:r>
      <w:r w:rsidRPr="00677563">
        <w:rPr>
          <w:i/>
          <w:iCs/>
          <w:position w:val="-4"/>
          <w:vertAlign w:val="subscript"/>
          <w:lang w:val="en-US" w:eastAsia="en-US"/>
        </w:rPr>
        <w:t>a</w:t>
      </w:r>
      <w:r>
        <w:rPr>
          <w:lang w:val="en-US" w:eastAsia="en-US"/>
        </w:rPr>
        <w:t xml:space="preserve"> = </w:t>
      </w:r>
      <w:r w:rsidRPr="0040638F">
        <w:rPr>
          <w:i/>
          <w:lang w:val="en-US" w:eastAsia="en-US"/>
        </w:rPr>
        <w:t>k</w:t>
      </w:r>
      <w:r w:rsidRPr="00677563">
        <w:rPr>
          <w:i/>
          <w:iCs/>
          <w:position w:val="-4"/>
          <w:vertAlign w:val="subscript"/>
          <w:lang w:val="en-US" w:eastAsia="en-US"/>
        </w:rPr>
        <w:t>a</w:t>
      </w:r>
      <w:r>
        <w:rPr>
          <w:lang w:val="en-US" w:eastAsia="en-US"/>
        </w:rPr>
        <w:t>/</w:t>
      </w:r>
      <w:r w:rsidRPr="0040638F">
        <w:rPr>
          <w:rFonts w:ascii="Symbol" w:hAnsi="Symbol"/>
          <w:i/>
          <w:lang w:val="en-US" w:eastAsia="en-US"/>
        </w:rPr>
        <w:t></w:t>
      </w:r>
      <w:r w:rsidRPr="00677563">
        <w:rPr>
          <w:i/>
          <w:iCs/>
          <w:position w:val="-4"/>
          <w:vertAlign w:val="subscript"/>
          <w:lang w:val="en-US" w:eastAsia="en-US"/>
        </w:rPr>
        <w:t>a</w:t>
      </w:r>
      <w:r w:rsidRPr="0040638F">
        <w:rPr>
          <w:i/>
          <w:lang w:val="en-US" w:eastAsia="en-US"/>
        </w:rPr>
        <w:t>c</w:t>
      </w:r>
      <w:r w:rsidRPr="00677563">
        <w:rPr>
          <w:i/>
          <w:iCs/>
          <w:position w:val="-4"/>
          <w:vertAlign w:val="subscript"/>
          <w:lang w:val="en-US" w:eastAsia="en-US"/>
        </w:rPr>
        <w:t>a</w:t>
      </w:r>
      <w:r>
        <w:rPr>
          <w:lang w:val="en-US" w:eastAsia="en-US"/>
        </w:rPr>
        <w:t xml:space="preserve">), with </w:t>
      </w:r>
      <w:r w:rsidRPr="0040638F">
        <w:rPr>
          <w:rFonts w:ascii="Symbol" w:hAnsi="Symbol"/>
          <w:i/>
          <w:lang w:val="en-US" w:eastAsia="en-US"/>
        </w:rPr>
        <w:t></w:t>
      </w:r>
      <w:r w:rsidRPr="0040638F">
        <w:rPr>
          <w:i/>
          <w:iCs/>
          <w:position w:val="-4"/>
          <w:vertAlign w:val="subscript"/>
          <w:lang w:val="en-US" w:eastAsia="en-US"/>
        </w:rPr>
        <w:t>a</w:t>
      </w:r>
      <w:r>
        <w:rPr>
          <w:lang w:val="en-US" w:eastAsia="en-US"/>
        </w:rPr>
        <w:t xml:space="preserve"> being the dynamic viscosity of the atmospheric gas, and </w:t>
      </w:r>
      <w:r w:rsidRPr="0040638F">
        <w:rPr>
          <w:i/>
          <w:lang w:val="en-US" w:eastAsia="en-US"/>
        </w:rPr>
        <w:t></w:t>
      </w:r>
      <w:r w:rsidRPr="0040638F">
        <w:rPr>
          <w:i/>
          <w:iCs/>
          <w:position w:val="-4"/>
          <w:vertAlign w:val="subscript"/>
          <w:lang w:val="en-US" w:eastAsia="en-US"/>
        </w:rPr>
        <w:t>a</w:t>
      </w:r>
      <w:r>
        <w:rPr>
          <w:lang w:val="en-US" w:eastAsia="en-US"/>
        </w:rPr>
        <w:t xml:space="preserve"> the specific heat capacity at constant pressure of the atmospheric gas.</w:t>
      </w:r>
    </w:p>
    <w:p w14:paraId="6A74F3CA" w14:textId="77777777" w:rsidR="006732AE" w:rsidRDefault="006732AE" w:rsidP="006732AE">
      <w:pPr>
        <w:pStyle w:val="ListParagraph"/>
        <w:widowControl w:val="0"/>
        <w:autoSpaceDE w:val="0"/>
        <w:autoSpaceDN w:val="0"/>
        <w:adjustRightInd w:val="0"/>
        <w:ind w:left="0"/>
        <w:contextualSpacing w:val="0"/>
        <w:rPr>
          <w:lang w:val="en-US" w:eastAsia="en-US"/>
        </w:rPr>
      </w:pPr>
    </w:p>
    <w:p w14:paraId="355B9A2A" w14:textId="005A9385" w:rsidR="00677563" w:rsidRPr="006732AE" w:rsidRDefault="0040638F" w:rsidP="006732AE">
      <w:pPr>
        <w:widowControl w:val="0"/>
        <w:autoSpaceDE w:val="0"/>
        <w:autoSpaceDN w:val="0"/>
        <w:adjustRightInd w:val="0"/>
        <w:rPr>
          <w:lang w:val="en-US" w:eastAsia="en-US"/>
        </w:rPr>
      </w:pPr>
      <w:r w:rsidRPr="006732AE">
        <w:rPr>
          <w:lang w:val="en-US" w:eastAsia="en-US"/>
        </w:rPr>
        <w:t xml:space="preserve">The Grashof number </w:t>
      </w:r>
      <w:r w:rsidR="00846484" w:rsidRPr="006732AE">
        <w:rPr>
          <w:lang w:val="en-US" w:eastAsia="en-US"/>
        </w:rPr>
        <w:t>(ratio of buoyancy force to viscous force)</w:t>
      </w:r>
      <w:r w:rsidRPr="006732AE">
        <w:rPr>
          <w:lang w:val="en-US" w:eastAsia="en-US"/>
        </w:rPr>
        <w:t>is given by</w:t>
      </w:r>
    </w:p>
    <w:p w14:paraId="6B6019AF" w14:textId="18C99C26" w:rsidR="0040638F" w:rsidRDefault="00846484" w:rsidP="006732AE">
      <w:pPr>
        <w:pStyle w:val="ListParagraph"/>
        <w:widowControl w:val="0"/>
        <w:autoSpaceDE w:val="0"/>
        <w:autoSpaceDN w:val="0"/>
        <w:adjustRightInd w:val="0"/>
        <w:ind w:left="0"/>
        <w:contextualSpacing w:val="0"/>
        <w:rPr>
          <w:lang w:val="en-US" w:eastAsia="en-US"/>
        </w:rPr>
      </w:pPr>
      <w:r w:rsidRPr="0040638F">
        <w:rPr>
          <w:position w:val="-30"/>
          <w:lang w:val="en-US" w:eastAsia="en-US"/>
        </w:rPr>
        <w:object w:dxaOrig="2280" w:dyaOrig="760" w14:anchorId="60C64D80">
          <v:shape id="_x0000_i1123" type="#_x0000_t75" style="width:114pt;height:38pt" o:ole="">
            <v:imagedata r:id="rId18" o:title=""/>
          </v:shape>
          <o:OLEObject Type="Embed" ProgID="Equation.3" ShapeID="_x0000_i1123" DrawAspect="Content" ObjectID="_1285930688" r:id="rId19"/>
        </w:object>
      </w:r>
      <w:r w:rsidR="0040638F">
        <w:rPr>
          <w:lang w:val="en-US" w:eastAsia="en-US"/>
        </w:rPr>
        <w:t xml:space="preserve"> ,</w:t>
      </w:r>
    </w:p>
    <w:p w14:paraId="696F568F" w14:textId="77777777" w:rsidR="006732AE" w:rsidRDefault="006732AE" w:rsidP="006732AE">
      <w:pPr>
        <w:pStyle w:val="ListParagraph"/>
        <w:widowControl w:val="0"/>
        <w:autoSpaceDE w:val="0"/>
        <w:autoSpaceDN w:val="0"/>
        <w:adjustRightInd w:val="0"/>
        <w:ind w:left="0"/>
        <w:contextualSpacing w:val="0"/>
        <w:rPr>
          <w:lang w:val="en-US" w:eastAsia="en-US"/>
        </w:rPr>
      </w:pPr>
    </w:p>
    <w:p w14:paraId="4FE3B48F" w14:textId="504643EB" w:rsidR="0040638F" w:rsidRDefault="0040638F" w:rsidP="006732AE">
      <w:pPr>
        <w:pStyle w:val="ListParagraph"/>
        <w:widowControl w:val="0"/>
        <w:autoSpaceDE w:val="0"/>
        <w:autoSpaceDN w:val="0"/>
        <w:adjustRightInd w:val="0"/>
        <w:ind w:left="0"/>
        <w:contextualSpacing w:val="0"/>
        <w:rPr>
          <w:lang w:val="en-US" w:eastAsia="en-US"/>
        </w:rPr>
      </w:pPr>
      <w:r>
        <w:rPr>
          <w:lang w:val="en-US" w:eastAsia="en-US"/>
        </w:rPr>
        <w:t xml:space="preserve">where </w:t>
      </w:r>
      <w:r w:rsidRPr="0040638F">
        <w:rPr>
          <w:rFonts w:ascii="Symbol" w:hAnsi="Symbol"/>
          <w:i/>
          <w:lang w:val="en-US" w:eastAsia="en-US"/>
        </w:rPr>
        <w:t></w:t>
      </w:r>
      <w:r>
        <w:rPr>
          <w:lang w:val="en-US" w:eastAsia="en-US"/>
        </w:rPr>
        <w:t xml:space="preserve"> is the volume expansion coefficient of the atmospheric gas, and </w:t>
      </w:r>
      <w:r w:rsidRPr="0040638F">
        <w:rPr>
          <w:i/>
          <w:lang w:val="en-US" w:eastAsia="en-US"/>
        </w:rPr>
        <w:t>g</w:t>
      </w:r>
      <w:r>
        <w:rPr>
          <w:lang w:val="en-US" w:eastAsia="en-US"/>
        </w:rPr>
        <w:t xml:space="preserve"> is the acceleration due to gravity.</w:t>
      </w:r>
    </w:p>
    <w:p w14:paraId="6F5895D2" w14:textId="77777777" w:rsidR="006732AE" w:rsidRDefault="006732AE" w:rsidP="006732AE">
      <w:pPr>
        <w:pStyle w:val="ListParagraph"/>
        <w:widowControl w:val="0"/>
        <w:autoSpaceDE w:val="0"/>
        <w:autoSpaceDN w:val="0"/>
        <w:adjustRightInd w:val="0"/>
        <w:ind w:left="0"/>
        <w:contextualSpacing w:val="0"/>
        <w:rPr>
          <w:lang w:val="en-US" w:eastAsia="en-US"/>
        </w:rPr>
      </w:pPr>
    </w:p>
    <w:p w14:paraId="766E253A" w14:textId="2D6F8A0F" w:rsidR="0040638F" w:rsidRDefault="0040638F" w:rsidP="006732AE">
      <w:pPr>
        <w:pStyle w:val="ListParagraph"/>
        <w:widowControl w:val="0"/>
        <w:autoSpaceDE w:val="0"/>
        <w:autoSpaceDN w:val="0"/>
        <w:adjustRightInd w:val="0"/>
        <w:ind w:left="0"/>
        <w:contextualSpacing w:val="0"/>
        <w:rPr>
          <w:lang w:val="en-US" w:eastAsia="en-US"/>
        </w:rPr>
      </w:pPr>
      <w:r>
        <w:rPr>
          <w:lang w:val="en-US" w:eastAsia="en-US"/>
        </w:rPr>
        <w:t xml:space="preserve">When a wind blows over the hot surface at a velocity </w:t>
      </w:r>
      <w:r>
        <w:rPr>
          <w:i/>
          <w:lang w:val="en-US" w:eastAsia="en-US"/>
        </w:rPr>
        <w:t>w</w:t>
      </w:r>
      <w:r>
        <w:rPr>
          <w:lang w:val="en-US" w:eastAsia="en-US"/>
        </w:rPr>
        <w:t xml:space="preserve">, </w:t>
      </w:r>
      <w:r w:rsidRPr="00846484">
        <w:rPr>
          <w:i/>
          <w:u w:val="single"/>
          <w:lang w:val="en-US" w:eastAsia="en-US"/>
        </w:rPr>
        <w:t>forced</w:t>
      </w:r>
      <w:r w:rsidRPr="00846484">
        <w:rPr>
          <w:u w:val="single"/>
          <w:lang w:val="en-US" w:eastAsia="en-US"/>
        </w:rPr>
        <w:t xml:space="preserve"> convection</w:t>
      </w:r>
      <w:r>
        <w:rPr>
          <w:lang w:val="en-US" w:eastAsia="en-US"/>
        </w:rPr>
        <w:t xml:space="preserve"> conditions exist, and the Nusselt number is instead given by</w:t>
      </w:r>
    </w:p>
    <w:p w14:paraId="34788C61" w14:textId="77777777" w:rsidR="006732AE" w:rsidRPr="0040638F" w:rsidRDefault="006732AE" w:rsidP="006732AE">
      <w:pPr>
        <w:pStyle w:val="ListParagraph"/>
        <w:widowControl w:val="0"/>
        <w:autoSpaceDE w:val="0"/>
        <w:autoSpaceDN w:val="0"/>
        <w:adjustRightInd w:val="0"/>
        <w:ind w:left="0"/>
        <w:contextualSpacing w:val="0"/>
        <w:rPr>
          <w:lang w:val="en-US" w:eastAsia="en-US"/>
        </w:rPr>
      </w:pPr>
    </w:p>
    <w:p w14:paraId="3FE762D9" w14:textId="24F6BA24" w:rsidR="0040638F" w:rsidRDefault="0040638F" w:rsidP="006732AE">
      <w:pPr>
        <w:pStyle w:val="ListParagraph"/>
        <w:widowControl w:val="0"/>
        <w:autoSpaceDE w:val="0"/>
        <w:autoSpaceDN w:val="0"/>
        <w:adjustRightInd w:val="0"/>
        <w:ind w:left="0"/>
        <w:contextualSpacing w:val="0"/>
        <w:rPr>
          <w:lang w:val="en-US" w:eastAsia="en-US"/>
        </w:rPr>
      </w:pPr>
      <w:r w:rsidRPr="0040638F">
        <w:rPr>
          <w:position w:val="-10"/>
          <w:lang w:val="en-US" w:eastAsia="en-US"/>
        </w:rPr>
        <w:object w:dxaOrig="2740" w:dyaOrig="360" w14:anchorId="6497840D">
          <v:shape id="_x0000_i1124" type="#_x0000_t75" style="width:137pt;height:18pt" o:ole="">
            <v:imagedata r:id="rId20" o:title=""/>
          </v:shape>
          <o:OLEObject Type="Embed" ProgID="Equation.3" ShapeID="_x0000_i1124" DrawAspect="Content" ObjectID="_1285930689" r:id="rId21"/>
        </w:object>
      </w:r>
      <w:r>
        <w:rPr>
          <w:lang w:val="en-US" w:eastAsia="en-US"/>
        </w:rPr>
        <w:t xml:space="preserve"> ,</w:t>
      </w:r>
    </w:p>
    <w:p w14:paraId="0FAE3F15" w14:textId="77777777" w:rsidR="006732AE" w:rsidRDefault="006732AE" w:rsidP="006732AE">
      <w:pPr>
        <w:pStyle w:val="ListParagraph"/>
        <w:widowControl w:val="0"/>
        <w:autoSpaceDE w:val="0"/>
        <w:autoSpaceDN w:val="0"/>
        <w:adjustRightInd w:val="0"/>
        <w:ind w:left="0"/>
        <w:contextualSpacing w:val="0"/>
        <w:rPr>
          <w:lang w:val="en-US" w:eastAsia="en-US"/>
        </w:rPr>
      </w:pPr>
    </w:p>
    <w:p w14:paraId="0F1228B4" w14:textId="45F5F9C1" w:rsidR="0040638F" w:rsidRDefault="0040638F" w:rsidP="006732AE">
      <w:pPr>
        <w:pStyle w:val="ListParagraph"/>
        <w:widowControl w:val="0"/>
        <w:autoSpaceDE w:val="0"/>
        <w:autoSpaceDN w:val="0"/>
        <w:adjustRightInd w:val="0"/>
        <w:ind w:left="0"/>
        <w:contextualSpacing w:val="0"/>
        <w:rPr>
          <w:lang w:val="en-US" w:eastAsia="en-US"/>
        </w:rPr>
      </w:pPr>
      <w:r>
        <w:rPr>
          <w:lang w:val="en-US" w:eastAsia="en-US"/>
        </w:rPr>
        <w:t>in which Re is the Reynolds number of the atmospheric flow, given by</w:t>
      </w:r>
    </w:p>
    <w:p w14:paraId="2AB6B3F0" w14:textId="77777777" w:rsidR="006732AE" w:rsidRDefault="006732AE" w:rsidP="006732AE">
      <w:pPr>
        <w:pStyle w:val="ListParagraph"/>
        <w:widowControl w:val="0"/>
        <w:autoSpaceDE w:val="0"/>
        <w:autoSpaceDN w:val="0"/>
        <w:adjustRightInd w:val="0"/>
        <w:ind w:left="0"/>
        <w:contextualSpacing w:val="0"/>
        <w:rPr>
          <w:lang w:val="en-US" w:eastAsia="en-US"/>
        </w:rPr>
      </w:pPr>
    </w:p>
    <w:p w14:paraId="748C506A" w14:textId="2B10220B" w:rsidR="0040638F" w:rsidRDefault="0040638F" w:rsidP="006732AE">
      <w:pPr>
        <w:pStyle w:val="ListParagraph"/>
        <w:widowControl w:val="0"/>
        <w:autoSpaceDE w:val="0"/>
        <w:autoSpaceDN w:val="0"/>
        <w:adjustRightInd w:val="0"/>
        <w:ind w:left="0"/>
        <w:contextualSpacing w:val="0"/>
        <w:rPr>
          <w:lang w:val="en-US" w:eastAsia="en-US"/>
        </w:rPr>
      </w:pPr>
      <w:r w:rsidRPr="0040638F">
        <w:rPr>
          <w:position w:val="-30"/>
          <w:lang w:val="en-US" w:eastAsia="en-US"/>
        </w:rPr>
        <w:object w:dxaOrig="1140" w:dyaOrig="680" w14:anchorId="087B35B6">
          <v:shape id="_x0000_i1125" type="#_x0000_t75" style="width:57pt;height:34pt" o:ole="">
            <v:imagedata r:id="rId22" o:title=""/>
          </v:shape>
          <o:OLEObject Type="Embed" ProgID="Equation.3" ShapeID="_x0000_i1125" DrawAspect="Content" ObjectID="_1285930690" r:id="rId23"/>
        </w:object>
      </w:r>
      <w:r>
        <w:rPr>
          <w:lang w:val="en-US" w:eastAsia="en-US"/>
        </w:rPr>
        <w:t xml:space="preserve"> .</w:t>
      </w:r>
    </w:p>
    <w:p w14:paraId="33B0693F" w14:textId="77777777" w:rsidR="0040638F" w:rsidRDefault="0040638F" w:rsidP="006732AE">
      <w:pPr>
        <w:pStyle w:val="ListParagraph"/>
        <w:widowControl w:val="0"/>
        <w:autoSpaceDE w:val="0"/>
        <w:autoSpaceDN w:val="0"/>
        <w:adjustRightInd w:val="0"/>
        <w:ind w:left="806"/>
        <w:contextualSpacing w:val="0"/>
        <w:rPr>
          <w:lang w:val="en-US" w:eastAsia="en-US"/>
        </w:rPr>
      </w:pPr>
    </w:p>
    <w:p w14:paraId="11C2671D" w14:textId="7ED322C7" w:rsidR="0040638F" w:rsidRDefault="0040638F" w:rsidP="006732AE">
      <w:pPr>
        <w:pStyle w:val="ListParagraph"/>
        <w:widowControl w:val="0"/>
        <w:numPr>
          <w:ilvl w:val="0"/>
          <w:numId w:val="8"/>
        </w:numPr>
        <w:autoSpaceDE w:val="0"/>
        <w:autoSpaceDN w:val="0"/>
        <w:adjustRightInd w:val="0"/>
        <w:ind w:left="360"/>
        <w:contextualSpacing w:val="0"/>
        <w:rPr>
          <w:lang w:val="en-US" w:eastAsia="en-US"/>
        </w:rPr>
      </w:pPr>
      <w:r>
        <w:rPr>
          <w:lang w:val="en-US" w:eastAsia="en-US"/>
        </w:rPr>
        <w:t xml:space="preserve">Using the above information, write expressions for </w:t>
      </w:r>
      <w:r w:rsidR="00846484">
        <w:rPr>
          <w:lang w:val="en-US" w:eastAsia="en-US"/>
        </w:rPr>
        <w:t xml:space="preserve">convective heat flux </w:t>
      </w:r>
      <w:r w:rsidRPr="00846484">
        <w:rPr>
          <w:i/>
          <w:lang w:val="en-US" w:eastAsia="en-US"/>
        </w:rPr>
        <w:t>q</w:t>
      </w:r>
      <w:r w:rsidRPr="00846484">
        <w:rPr>
          <w:i/>
          <w:iCs/>
          <w:position w:val="-4"/>
          <w:vertAlign w:val="subscript"/>
          <w:lang w:val="en-US" w:eastAsia="en-US"/>
        </w:rPr>
        <w:t>conv</w:t>
      </w:r>
      <w:r>
        <w:rPr>
          <w:lang w:val="en-US" w:eastAsia="en-US"/>
        </w:rPr>
        <w:t xml:space="preserve"> for free and forced convection, in terms of the atmospheric properties </w:t>
      </w:r>
      <w:r w:rsidRPr="00846484">
        <w:rPr>
          <w:rFonts w:ascii="Symbol" w:hAnsi="Symbol"/>
          <w:i/>
          <w:lang w:val="en-US" w:eastAsia="en-US"/>
        </w:rPr>
        <w:t></w:t>
      </w:r>
      <w:r w:rsidRPr="00846484">
        <w:rPr>
          <w:i/>
          <w:iCs/>
          <w:position w:val="-4"/>
          <w:vertAlign w:val="subscript"/>
          <w:lang w:val="en-US" w:eastAsia="en-US"/>
        </w:rPr>
        <w:t>a</w:t>
      </w:r>
      <w:r>
        <w:rPr>
          <w:lang w:val="en-US" w:eastAsia="en-US"/>
        </w:rPr>
        <w:t xml:space="preserve">, </w:t>
      </w:r>
      <w:r w:rsidRPr="00846484">
        <w:rPr>
          <w:i/>
          <w:lang w:val="en-US" w:eastAsia="en-US"/>
        </w:rPr>
        <w:t>k</w:t>
      </w:r>
      <w:r w:rsidR="00846484" w:rsidRPr="00846484">
        <w:rPr>
          <w:i/>
          <w:iCs/>
          <w:position w:val="-4"/>
          <w:vertAlign w:val="subscript"/>
          <w:lang w:val="en-US" w:eastAsia="en-US"/>
        </w:rPr>
        <w:t>a</w:t>
      </w:r>
      <w:r>
        <w:rPr>
          <w:lang w:val="en-US" w:eastAsia="en-US"/>
        </w:rPr>
        <w:t xml:space="preserve">, </w:t>
      </w:r>
      <w:r w:rsidRPr="00846484">
        <w:rPr>
          <w:i/>
          <w:lang w:val="en-US" w:eastAsia="en-US"/>
        </w:rPr>
        <w:t>c</w:t>
      </w:r>
      <w:r w:rsidR="00846484" w:rsidRPr="00846484">
        <w:rPr>
          <w:i/>
          <w:iCs/>
          <w:position w:val="-4"/>
          <w:vertAlign w:val="subscript"/>
          <w:lang w:val="en-US" w:eastAsia="en-US"/>
        </w:rPr>
        <w:t>a</w:t>
      </w:r>
      <w:r>
        <w:rPr>
          <w:lang w:val="en-US" w:eastAsia="en-US"/>
        </w:rPr>
        <w:t xml:space="preserve">, </w:t>
      </w:r>
      <w:r w:rsidRPr="00846484">
        <w:rPr>
          <w:rFonts w:ascii="Symbol" w:hAnsi="Symbol"/>
          <w:i/>
          <w:lang w:val="en-US" w:eastAsia="en-US"/>
        </w:rPr>
        <w:t></w:t>
      </w:r>
      <w:r w:rsidR="00846484" w:rsidRPr="00846484">
        <w:rPr>
          <w:i/>
          <w:iCs/>
          <w:position w:val="-4"/>
          <w:vertAlign w:val="subscript"/>
          <w:lang w:val="en-US" w:eastAsia="en-US"/>
        </w:rPr>
        <w:t>a</w:t>
      </w:r>
      <w:r>
        <w:rPr>
          <w:lang w:val="en-US" w:eastAsia="en-US"/>
        </w:rPr>
        <w:t>. For free convection show that the heat flux per unit area is independent of the length scale of the flow.</w:t>
      </w:r>
    </w:p>
    <w:p w14:paraId="16FC43B6" w14:textId="77777777" w:rsidR="00846484" w:rsidRDefault="00846484" w:rsidP="006732AE">
      <w:pPr>
        <w:pStyle w:val="ListParagraph"/>
        <w:widowControl w:val="0"/>
        <w:autoSpaceDE w:val="0"/>
        <w:autoSpaceDN w:val="0"/>
        <w:adjustRightInd w:val="0"/>
        <w:ind w:left="360"/>
        <w:contextualSpacing w:val="0"/>
        <w:rPr>
          <w:lang w:val="en-US" w:eastAsia="en-US"/>
        </w:rPr>
      </w:pPr>
    </w:p>
    <w:p w14:paraId="1386BDA7" w14:textId="46DFA4B9" w:rsidR="00E63E52" w:rsidRDefault="00E63E52" w:rsidP="006732AE">
      <w:pPr>
        <w:pStyle w:val="ListParagraph"/>
        <w:widowControl w:val="0"/>
        <w:numPr>
          <w:ilvl w:val="0"/>
          <w:numId w:val="8"/>
        </w:numPr>
        <w:autoSpaceDE w:val="0"/>
        <w:autoSpaceDN w:val="0"/>
        <w:adjustRightInd w:val="0"/>
        <w:spacing w:line="300" w:lineRule="exact"/>
        <w:ind w:left="360"/>
        <w:contextualSpacing w:val="0"/>
        <w:rPr>
          <w:lang w:val="en-US" w:eastAsia="en-US"/>
        </w:rPr>
      </w:pPr>
      <w:r>
        <w:rPr>
          <w:lang w:val="en-US" w:eastAsia="en-US"/>
        </w:rPr>
        <w:t xml:space="preserve">Using information given in Table 17.1 of Chapter 17, and </w:t>
      </w:r>
      <w:r w:rsidR="00846484">
        <w:rPr>
          <w:lang w:val="en-US" w:eastAsia="en-US"/>
        </w:rPr>
        <w:t xml:space="preserve">the atmospheric properties data given </w:t>
      </w:r>
      <w:r>
        <w:rPr>
          <w:lang w:val="en-US" w:eastAsia="en-US"/>
        </w:rPr>
        <w:t xml:space="preserve">in the table below, calculate the </w:t>
      </w:r>
      <w:r w:rsidR="00846484">
        <w:rPr>
          <w:lang w:val="en-US" w:eastAsia="en-US"/>
        </w:rPr>
        <w:t xml:space="preserve">radiative heat flux </w:t>
      </w:r>
      <w:r w:rsidRPr="00846484">
        <w:rPr>
          <w:i/>
          <w:lang w:val="en-US" w:eastAsia="en-US"/>
        </w:rPr>
        <w:t>q</w:t>
      </w:r>
      <w:r w:rsidRPr="00846484">
        <w:rPr>
          <w:i/>
          <w:iCs/>
          <w:position w:val="-4"/>
          <w:vertAlign w:val="subscript"/>
          <w:lang w:val="en-US" w:eastAsia="en-US"/>
        </w:rPr>
        <w:t>rad</w:t>
      </w:r>
      <w:r>
        <w:rPr>
          <w:lang w:val="en-US" w:eastAsia="en-US"/>
        </w:rPr>
        <w:t>,</w:t>
      </w:r>
      <w:r w:rsidR="00846484">
        <w:rPr>
          <w:lang w:val="en-US" w:eastAsia="en-US"/>
        </w:rPr>
        <w:t xml:space="preserve"> the convective fluxes</w:t>
      </w:r>
      <w:r>
        <w:rPr>
          <w:lang w:val="en-US" w:eastAsia="en-US"/>
        </w:rPr>
        <w:t xml:space="preserve"> </w:t>
      </w:r>
      <w:r w:rsidRPr="00846484">
        <w:rPr>
          <w:i/>
          <w:lang w:val="en-US" w:eastAsia="en-US"/>
        </w:rPr>
        <w:t>q</w:t>
      </w:r>
      <w:r w:rsidRPr="00846484">
        <w:rPr>
          <w:i/>
          <w:iCs/>
          <w:position w:val="-4"/>
          <w:vertAlign w:val="subscript"/>
          <w:lang w:val="en-US" w:eastAsia="en-US"/>
        </w:rPr>
        <w:t>conv</w:t>
      </w:r>
      <w:r>
        <w:rPr>
          <w:lang w:val="en-US" w:eastAsia="en-US"/>
        </w:rPr>
        <w:t xml:space="preserve"> (free and forced), and total heat flux </w:t>
      </w:r>
      <w:r w:rsidRPr="00846484">
        <w:rPr>
          <w:i/>
          <w:lang w:val="en-US" w:eastAsia="en-US"/>
        </w:rPr>
        <w:t>q</w:t>
      </w:r>
      <w:r w:rsidRPr="00846484">
        <w:rPr>
          <w:i/>
          <w:iCs/>
          <w:position w:val="-4"/>
          <w:vertAlign w:val="subscript"/>
          <w:lang w:val="en-US" w:eastAsia="en-US"/>
        </w:rPr>
        <w:t>tot</w:t>
      </w:r>
      <w:r>
        <w:rPr>
          <w:lang w:val="en-US" w:eastAsia="en-US"/>
        </w:rPr>
        <w:t xml:space="preserve"> from a lava flow surface at several temperatures ranging from ~1500 K to </w:t>
      </w:r>
      <w:r w:rsidR="00846484">
        <w:rPr>
          <w:lang w:val="en-US" w:eastAsia="en-US"/>
        </w:rPr>
        <w:t>~</w:t>
      </w:r>
      <w:r>
        <w:rPr>
          <w:lang w:val="en-US" w:eastAsia="en-US"/>
        </w:rPr>
        <w:t xml:space="preserve">100 K above ambient temperature for lava flows on Earth, Mars, Venus, and the Moon.  Use a length scale (typically assumed to be the average of flow width and length) </w:t>
      </w:r>
      <w:r>
        <w:rPr>
          <w:i/>
          <w:lang w:val="en-US" w:eastAsia="en-US"/>
        </w:rPr>
        <w:t xml:space="preserve">L </w:t>
      </w:r>
      <w:r w:rsidR="00846484">
        <w:rPr>
          <w:lang w:val="en-US" w:eastAsia="en-US"/>
        </w:rPr>
        <w:t>of 1000 m, and</w:t>
      </w:r>
      <w:r>
        <w:rPr>
          <w:lang w:val="en-US" w:eastAsia="en-US"/>
        </w:rPr>
        <w:t xml:space="preserve"> wind speed</w:t>
      </w:r>
      <w:r w:rsidR="00846484">
        <w:rPr>
          <w:lang w:val="en-US" w:eastAsia="en-US"/>
        </w:rPr>
        <w:t>s</w:t>
      </w:r>
      <w:r>
        <w:rPr>
          <w:lang w:val="en-US" w:eastAsia="en-US"/>
        </w:rPr>
        <w:t xml:space="preserve"> of </w:t>
      </w:r>
      <w:r w:rsidR="00846484">
        <w:rPr>
          <w:lang w:val="en-US" w:eastAsia="en-US"/>
        </w:rPr>
        <w:t>1 and 10</w:t>
      </w:r>
      <w:r>
        <w:rPr>
          <w:lang w:val="en-US" w:eastAsia="en-US"/>
        </w:rPr>
        <w:t xml:space="preserve"> m s</w:t>
      </w:r>
      <w:r w:rsidRPr="00E63E52">
        <w:rPr>
          <w:vertAlign w:val="superscript"/>
          <w:lang w:val="en-US" w:eastAsia="en-US"/>
        </w:rPr>
        <w:t>-1</w:t>
      </w:r>
      <w:r>
        <w:rPr>
          <w:lang w:val="en-US" w:eastAsia="en-US"/>
        </w:rPr>
        <w:t>.</w:t>
      </w:r>
      <w:r w:rsidR="00846484">
        <w:rPr>
          <w:lang w:val="en-US" w:eastAsia="en-US"/>
        </w:rPr>
        <w:t xml:space="preserve">  Plot graphs of radiative and convective heat fluxes against temperature to help visualize the differences in cooling mechanisms between the four environments, and plot total heat flux against temperature for each body to consider the implications for the rate of cooling of flows on these four bodies.</w:t>
      </w:r>
    </w:p>
    <w:p w14:paraId="15683A99" w14:textId="77777777" w:rsidR="006F0357" w:rsidRDefault="006F0357" w:rsidP="006732AE">
      <w:pPr>
        <w:widowControl w:val="0"/>
        <w:autoSpaceDE w:val="0"/>
        <w:autoSpaceDN w:val="0"/>
        <w:adjustRightInd w:val="0"/>
        <w:rPr>
          <w:lang w:val="en-US"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8"/>
        <w:gridCol w:w="1674"/>
        <w:gridCol w:w="1206"/>
        <w:gridCol w:w="1746"/>
        <w:gridCol w:w="1584"/>
        <w:gridCol w:w="1368"/>
      </w:tblGrid>
      <w:tr w:rsidR="006F0357" w14:paraId="779241D3" w14:textId="77777777" w:rsidTr="00240310">
        <w:tc>
          <w:tcPr>
            <w:tcW w:w="1278" w:type="dxa"/>
            <w:tcBorders>
              <w:top w:val="single" w:sz="8" w:space="0" w:color="auto"/>
              <w:bottom w:val="single" w:sz="8" w:space="0" w:color="auto"/>
            </w:tcBorders>
          </w:tcPr>
          <w:p w14:paraId="594192A3" w14:textId="5A519D88" w:rsidR="006F0357" w:rsidRPr="006F0357" w:rsidRDefault="006F0357" w:rsidP="006732AE">
            <w:pPr>
              <w:widowControl w:val="0"/>
              <w:autoSpaceDE w:val="0"/>
              <w:autoSpaceDN w:val="0"/>
              <w:adjustRightInd w:val="0"/>
              <w:rPr>
                <w:b/>
                <w:lang w:val="en-US" w:eastAsia="en-US"/>
              </w:rPr>
            </w:pPr>
            <w:r w:rsidRPr="006F0357">
              <w:rPr>
                <w:b/>
                <w:lang w:val="en-US" w:eastAsia="en-US"/>
              </w:rPr>
              <w:t>Planet</w:t>
            </w:r>
          </w:p>
        </w:tc>
        <w:tc>
          <w:tcPr>
            <w:tcW w:w="1674" w:type="dxa"/>
            <w:tcBorders>
              <w:top w:val="single" w:sz="8" w:space="0" w:color="auto"/>
              <w:bottom w:val="single" w:sz="8" w:space="0" w:color="auto"/>
            </w:tcBorders>
          </w:tcPr>
          <w:p w14:paraId="43A35EB1" w14:textId="3BF9B530" w:rsidR="006F0357" w:rsidRPr="006F0357" w:rsidRDefault="006F0357" w:rsidP="006732AE">
            <w:pPr>
              <w:widowControl w:val="0"/>
              <w:autoSpaceDE w:val="0"/>
              <w:autoSpaceDN w:val="0"/>
              <w:adjustRightInd w:val="0"/>
              <w:jc w:val="center"/>
              <w:rPr>
                <w:b/>
                <w:lang w:val="en-US" w:eastAsia="en-US"/>
              </w:rPr>
            </w:pPr>
            <w:r w:rsidRPr="006F0357">
              <w:rPr>
                <w:rFonts w:ascii="Symbol" w:hAnsi="Symbol"/>
                <w:b/>
                <w:i/>
                <w:lang w:val="en-US" w:eastAsia="en-US"/>
              </w:rPr>
              <w:t></w:t>
            </w:r>
            <w:r w:rsidRPr="006F0357">
              <w:rPr>
                <w:b/>
                <w:bCs/>
                <w:i/>
                <w:iCs/>
                <w:position w:val="-4"/>
                <w:vertAlign w:val="subscript"/>
                <w:lang w:val="en-US" w:eastAsia="en-US"/>
              </w:rPr>
              <w:t>a</w:t>
            </w:r>
            <w:r>
              <w:rPr>
                <w:b/>
                <w:lang w:val="en-US" w:eastAsia="en-US"/>
              </w:rPr>
              <w:t xml:space="preserve"> (kg m</w:t>
            </w:r>
            <w:r w:rsidRPr="006F0357">
              <w:rPr>
                <w:b/>
                <w:vertAlign w:val="superscript"/>
                <w:lang w:val="en-US" w:eastAsia="en-US"/>
              </w:rPr>
              <w:t>-3</w:t>
            </w:r>
            <w:r>
              <w:rPr>
                <w:b/>
                <w:lang w:val="en-US" w:eastAsia="en-US"/>
              </w:rPr>
              <w:t>)</w:t>
            </w:r>
          </w:p>
        </w:tc>
        <w:tc>
          <w:tcPr>
            <w:tcW w:w="1206" w:type="dxa"/>
            <w:tcBorders>
              <w:top w:val="single" w:sz="8" w:space="0" w:color="auto"/>
              <w:bottom w:val="single" w:sz="8" w:space="0" w:color="auto"/>
            </w:tcBorders>
          </w:tcPr>
          <w:p w14:paraId="6D748038" w14:textId="2604D4F9" w:rsidR="006F0357" w:rsidRPr="006F0357" w:rsidRDefault="006F0357" w:rsidP="006732AE">
            <w:pPr>
              <w:widowControl w:val="0"/>
              <w:autoSpaceDE w:val="0"/>
              <w:autoSpaceDN w:val="0"/>
              <w:adjustRightInd w:val="0"/>
              <w:jc w:val="center"/>
              <w:rPr>
                <w:b/>
                <w:lang w:val="en-US" w:eastAsia="en-US"/>
              </w:rPr>
            </w:pPr>
            <w:r w:rsidRPr="006F0357">
              <w:rPr>
                <w:rFonts w:ascii="Symbol" w:hAnsi="Symbol"/>
                <w:b/>
                <w:i/>
                <w:lang w:val="en-US" w:eastAsia="en-US"/>
              </w:rPr>
              <w:t></w:t>
            </w:r>
            <w:r w:rsidRPr="006F0357">
              <w:rPr>
                <w:b/>
                <w:bCs/>
                <w:i/>
                <w:iCs/>
                <w:position w:val="-4"/>
                <w:vertAlign w:val="subscript"/>
                <w:lang w:val="en-US" w:eastAsia="en-US"/>
              </w:rPr>
              <w:t>a</w:t>
            </w:r>
            <w:r>
              <w:rPr>
                <w:b/>
                <w:lang w:val="en-US" w:eastAsia="en-US"/>
              </w:rPr>
              <w:t xml:space="preserve"> (Pa s)</w:t>
            </w:r>
          </w:p>
        </w:tc>
        <w:tc>
          <w:tcPr>
            <w:tcW w:w="1746" w:type="dxa"/>
            <w:tcBorders>
              <w:top w:val="single" w:sz="8" w:space="0" w:color="auto"/>
              <w:bottom w:val="single" w:sz="8" w:space="0" w:color="auto"/>
            </w:tcBorders>
          </w:tcPr>
          <w:p w14:paraId="2967CEF8" w14:textId="03F035E4" w:rsidR="006F0357" w:rsidRPr="006F0357" w:rsidRDefault="006F0357" w:rsidP="006732AE">
            <w:pPr>
              <w:widowControl w:val="0"/>
              <w:autoSpaceDE w:val="0"/>
              <w:autoSpaceDN w:val="0"/>
              <w:adjustRightInd w:val="0"/>
              <w:jc w:val="center"/>
              <w:rPr>
                <w:b/>
                <w:lang w:val="en-US" w:eastAsia="en-US"/>
              </w:rPr>
            </w:pPr>
            <w:r>
              <w:rPr>
                <w:b/>
                <w:i/>
                <w:lang w:val="en-US" w:eastAsia="en-US"/>
              </w:rPr>
              <w:t>k</w:t>
            </w:r>
            <w:r w:rsidRPr="006F0357">
              <w:rPr>
                <w:b/>
                <w:bCs/>
                <w:i/>
                <w:iCs/>
                <w:position w:val="-4"/>
                <w:vertAlign w:val="subscript"/>
                <w:lang w:val="en-US" w:eastAsia="en-US"/>
              </w:rPr>
              <w:t>a</w:t>
            </w:r>
            <w:r>
              <w:rPr>
                <w:b/>
                <w:lang w:val="en-US" w:eastAsia="en-US"/>
              </w:rPr>
              <w:t xml:space="preserve"> (W m</w:t>
            </w:r>
            <w:r w:rsidRPr="006F0357">
              <w:rPr>
                <w:b/>
                <w:vertAlign w:val="superscript"/>
                <w:lang w:val="en-US" w:eastAsia="en-US"/>
              </w:rPr>
              <w:t>-1</w:t>
            </w:r>
            <w:r>
              <w:rPr>
                <w:b/>
                <w:lang w:val="en-US" w:eastAsia="en-US"/>
              </w:rPr>
              <w:t xml:space="preserve"> K</w:t>
            </w:r>
            <w:r w:rsidRPr="006F0357">
              <w:rPr>
                <w:b/>
                <w:vertAlign w:val="superscript"/>
                <w:lang w:val="en-US" w:eastAsia="en-US"/>
              </w:rPr>
              <w:t>-1</w:t>
            </w:r>
            <w:r>
              <w:rPr>
                <w:b/>
                <w:lang w:val="en-US" w:eastAsia="en-US"/>
              </w:rPr>
              <w:t>)</w:t>
            </w:r>
          </w:p>
        </w:tc>
        <w:tc>
          <w:tcPr>
            <w:tcW w:w="1584" w:type="dxa"/>
            <w:tcBorders>
              <w:top w:val="single" w:sz="8" w:space="0" w:color="auto"/>
              <w:bottom w:val="single" w:sz="8" w:space="0" w:color="auto"/>
            </w:tcBorders>
          </w:tcPr>
          <w:p w14:paraId="0E7BC5DB" w14:textId="68A2D275" w:rsidR="006F0357" w:rsidRPr="006F0357" w:rsidRDefault="006F0357" w:rsidP="006732AE">
            <w:pPr>
              <w:widowControl w:val="0"/>
              <w:autoSpaceDE w:val="0"/>
              <w:autoSpaceDN w:val="0"/>
              <w:adjustRightInd w:val="0"/>
              <w:jc w:val="center"/>
              <w:rPr>
                <w:b/>
                <w:lang w:val="en-US" w:eastAsia="en-US"/>
              </w:rPr>
            </w:pPr>
            <w:r w:rsidRPr="006F0357">
              <w:rPr>
                <w:b/>
                <w:i/>
                <w:lang w:val="en-US" w:eastAsia="en-US"/>
              </w:rPr>
              <w:t>c</w:t>
            </w:r>
            <w:r w:rsidRPr="006F0357">
              <w:rPr>
                <w:b/>
                <w:bCs/>
                <w:i/>
                <w:iCs/>
                <w:position w:val="-4"/>
                <w:vertAlign w:val="subscript"/>
                <w:lang w:val="en-US" w:eastAsia="en-US"/>
              </w:rPr>
              <w:t>a</w:t>
            </w:r>
            <w:r>
              <w:rPr>
                <w:b/>
                <w:lang w:val="en-US" w:eastAsia="en-US"/>
              </w:rPr>
              <w:t xml:space="preserve"> (J kg</w:t>
            </w:r>
            <w:r w:rsidRPr="006F0357">
              <w:rPr>
                <w:b/>
                <w:vertAlign w:val="superscript"/>
                <w:lang w:val="en-US" w:eastAsia="en-US"/>
              </w:rPr>
              <w:t>-1</w:t>
            </w:r>
            <w:r>
              <w:rPr>
                <w:b/>
                <w:lang w:val="en-US" w:eastAsia="en-US"/>
              </w:rPr>
              <w:t xml:space="preserve"> K</w:t>
            </w:r>
            <w:r w:rsidRPr="006F0357">
              <w:rPr>
                <w:b/>
                <w:vertAlign w:val="superscript"/>
                <w:lang w:val="en-US" w:eastAsia="en-US"/>
              </w:rPr>
              <w:t>-1</w:t>
            </w:r>
            <w:r>
              <w:rPr>
                <w:b/>
                <w:lang w:val="en-US" w:eastAsia="en-US"/>
              </w:rPr>
              <w:t>)</w:t>
            </w:r>
          </w:p>
        </w:tc>
        <w:tc>
          <w:tcPr>
            <w:tcW w:w="1368" w:type="dxa"/>
            <w:tcBorders>
              <w:top w:val="single" w:sz="8" w:space="0" w:color="auto"/>
              <w:bottom w:val="single" w:sz="8" w:space="0" w:color="auto"/>
            </w:tcBorders>
          </w:tcPr>
          <w:p w14:paraId="3D621A28" w14:textId="3A7F3F02" w:rsidR="006F0357" w:rsidRPr="006F0357" w:rsidRDefault="006F0357" w:rsidP="006732AE">
            <w:pPr>
              <w:widowControl w:val="0"/>
              <w:autoSpaceDE w:val="0"/>
              <w:autoSpaceDN w:val="0"/>
              <w:adjustRightInd w:val="0"/>
              <w:jc w:val="center"/>
              <w:rPr>
                <w:b/>
                <w:lang w:val="en-US" w:eastAsia="en-US"/>
              </w:rPr>
            </w:pPr>
            <w:r w:rsidRPr="006F0357">
              <w:rPr>
                <w:rFonts w:ascii="Symbol" w:hAnsi="Symbol"/>
                <w:b/>
                <w:i/>
                <w:lang w:val="en-US" w:eastAsia="en-US"/>
              </w:rPr>
              <w:t></w:t>
            </w:r>
            <w:r>
              <w:rPr>
                <w:b/>
                <w:lang w:val="en-US" w:eastAsia="en-US"/>
              </w:rPr>
              <w:t xml:space="preserve"> (K</w:t>
            </w:r>
            <w:r w:rsidRPr="006F0357">
              <w:rPr>
                <w:b/>
                <w:vertAlign w:val="superscript"/>
                <w:lang w:val="en-US" w:eastAsia="en-US"/>
              </w:rPr>
              <w:t>-1</w:t>
            </w:r>
            <w:r>
              <w:rPr>
                <w:b/>
                <w:lang w:val="en-US" w:eastAsia="en-US"/>
              </w:rPr>
              <w:t>)</w:t>
            </w:r>
          </w:p>
        </w:tc>
      </w:tr>
      <w:tr w:rsidR="006F0357" w14:paraId="4E013772" w14:textId="77777777" w:rsidTr="00240310">
        <w:tc>
          <w:tcPr>
            <w:tcW w:w="1278" w:type="dxa"/>
            <w:tcBorders>
              <w:top w:val="single" w:sz="8" w:space="0" w:color="auto"/>
            </w:tcBorders>
          </w:tcPr>
          <w:p w14:paraId="40F43EED" w14:textId="76502C55" w:rsidR="006F0357" w:rsidRDefault="006F0357" w:rsidP="006732AE">
            <w:pPr>
              <w:widowControl w:val="0"/>
              <w:autoSpaceDE w:val="0"/>
              <w:autoSpaceDN w:val="0"/>
              <w:adjustRightInd w:val="0"/>
              <w:rPr>
                <w:lang w:val="en-US" w:eastAsia="en-US"/>
              </w:rPr>
            </w:pPr>
            <w:r>
              <w:rPr>
                <w:lang w:val="en-US" w:eastAsia="en-US"/>
              </w:rPr>
              <w:t>Earth</w:t>
            </w:r>
          </w:p>
        </w:tc>
        <w:tc>
          <w:tcPr>
            <w:tcW w:w="1674" w:type="dxa"/>
            <w:tcBorders>
              <w:top w:val="single" w:sz="8" w:space="0" w:color="auto"/>
            </w:tcBorders>
          </w:tcPr>
          <w:p w14:paraId="751EECED" w14:textId="7FCA9CF3" w:rsidR="006F0357" w:rsidRDefault="006F0357" w:rsidP="006732AE">
            <w:pPr>
              <w:widowControl w:val="0"/>
              <w:autoSpaceDE w:val="0"/>
              <w:autoSpaceDN w:val="0"/>
              <w:adjustRightInd w:val="0"/>
              <w:jc w:val="center"/>
              <w:rPr>
                <w:lang w:val="en-US" w:eastAsia="en-US"/>
              </w:rPr>
            </w:pPr>
            <w:r>
              <w:rPr>
                <w:lang w:val="en-US" w:eastAsia="en-US"/>
              </w:rPr>
              <w:t>1.</w:t>
            </w:r>
            <w:r w:rsidR="00240310">
              <w:rPr>
                <w:lang w:val="en-US" w:eastAsia="en-US"/>
              </w:rPr>
              <w:t>2</w:t>
            </w:r>
          </w:p>
        </w:tc>
        <w:tc>
          <w:tcPr>
            <w:tcW w:w="1206" w:type="dxa"/>
            <w:tcBorders>
              <w:top w:val="single" w:sz="8" w:space="0" w:color="auto"/>
            </w:tcBorders>
          </w:tcPr>
          <w:p w14:paraId="3E743057" w14:textId="115535C7" w:rsidR="006F0357" w:rsidRDefault="006F0357" w:rsidP="006732AE">
            <w:pPr>
              <w:widowControl w:val="0"/>
              <w:autoSpaceDE w:val="0"/>
              <w:autoSpaceDN w:val="0"/>
              <w:adjustRightInd w:val="0"/>
              <w:jc w:val="center"/>
              <w:rPr>
                <w:lang w:val="en-US" w:eastAsia="en-US"/>
              </w:rPr>
            </w:pPr>
            <w:r>
              <w:rPr>
                <w:lang w:val="en-US" w:eastAsia="en-US"/>
              </w:rPr>
              <w:t xml:space="preserve">2.4 </w:t>
            </w:r>
            <w:r w:rsidRPr="006F0357">
              <w:rPr>
                <w:rFonts w:ascii="Helvetica" w:hAnsi="Helvetica"/>
                <w:sz w:val="22"/>
                <w:lang w:val="en-US" w:eastAsia="en-US"/>
              </w:rPr>
              <w:t>x</w:t>
            </w:r>
            <w:r>
              <w:rPr>
                <w:lang w:val="en-US" w:eastAsia="en-US"/>
              </w:rPr>
              <w:t xml:space="preserve"> 10</w:t>
            </w:r>
            <w:r w:rsidRPr="006F0357">
              <w:rPr>
                <w:vertAlign w:val="superscript"/>
                <w:lang w:val="en-US" w:eastAsia="en-US"/>
              </w:rPr>
              <w:t>-</w:t>
            </w:r>
            <w:r>
              <w:rPr>
                <w:vertAlign w:val="superscript"/>
                <w:lang w:val="en-US" w:eastAsia="en-US"/>
              </w:rPr>
              <w:t>4</w:t>
            </w:r>
          </w:p>
        </w:tc>
        <w:tc>
          <w:tcPr>
            <w:tcW w:w="1746" w:type="dxa"/>
            <w:tcBorders>
              <w:top w:val="single" w:sz="8" w:space="0" w:color="auto"/>
            </w:tcBorders>
          </w:tcPr>
          <w:p w14:paraId="0A6F5758" w14:textId="75C70536" w:rsidR="006F0357" w:rsidRDefault="00846484" w:rsidP="006732AE">
            <w:pPr>
              <w:widowControl w:val="0"/>
              <w:autoSpaceDE w:val="0"/>
              <w:autoSpaceDN w:val="0"/>
              <w:adjustRightInd w:val="0"/>
              <w:jc w:val="center"/>
              <w:rPr>
                <w:lang w:val="en-US" w:eastAsia="en-US"/>
              </w:rPr>
            </w:pPr>
            <w:r>
              <w:rPr>
                <w:lang w:val="en-US" w:eastAsia="en-US"/>
              </w:rPr>
              <w:t>0.025</w:t>
            </w:r>
          </w:p>
        </w:tc>
        <w:tc>
          <w:tcPr>
            <w:tcW w:w="1584" w:type="dxa"/>
            <w:tcBorders>
              <w:top w:val="single" w:sz="8" w:space="0" w:color="auto"/>
            </w:tcBorders>
          </w:tcPr>
          <w:p w14:paraId="6C76875C" w14:textId="1162CF7B" w:rsidR="006F0357" w:rsidRDefault="006F0357" w:rsidP="006732AE">
            <w:pPr>
              <w:widowControl w:val="0"/>
              <w:autoSpaceDE w:val="0"/>
              <w:autoSpaceDN w:val="0"/>
              <w:adjustRightInd w:val="0"/>
              <w:jc w:val="center"/>
              <w:rPr>
                <w:lang w:val="en-US" w:eastAsia="en-US"/>
              </w:rPr>
            </w:pPr>
            <w:r>
              <w:rPr>
                <w:lang w:val="en-US" w:eastAsia="en-US"/>
              </w:rPr>
              <w:t>1000</w:t>
            </w:r>
          </w:p>
        </w:tc>
        <w:tc>
          <w:tcPr>
            <w:tcW w:w="1368" w:type="dxa"/>
            <w:tcBorders>
              <w:top w:val="single" w:sz="8" w:space="0" w:color="auto"/>
            </w:tcBorders>
          </w:tcPr>
          <w:p w14:paraId="1A33BDB3" w14:textId="2A0A4091" w:rsidR="006F0357" w:rsidRDefault="006F0357" w:rsidP="006732AE">
            <w:pPr>
              <w:widowControl w:val="0"/>
              <w:autoSpaceDE w:val="0"/>
              <w:autoSpaceDN w:val="0"/>
              <w:adjustRightInd w:val="0"/>
              <w:jc w:val="center"/>
              <w:rPr>
                <w:lang w:val="en-US" w:eastAsia="en-US"/>
              </w:rPr>
            </w:pPr>
            <w:r>
              <w:rPr>
                <w:lang w:val="en-US" w:eastAsia="en-US"/>
              </w:rPr>
              <w:t xml:space="preserve">3.4 </w:t>
            </w:r>
            <w:r w:rsidRPr="006F0357">
              <w:rPr>
                <w:rFonts w:ascii="Helvetica" w:hAnsi="Helvetica"/>
                <w:sz w:val="22"/>
                <w:lang w:val="en-US" w:eastAsia="en-US"/>
              </w:rPr>
              <w:t>x</w:t>
            </w:r>
            <w:r>
              <w:rPr>
                <w:lang w:val="en-US" w:eastAsia="en-US"/>
              </w:rPr>
              <w:t xml:space="preserve"> 10</w:t>
            </w:r>
            <w:r w:rsidRPr="006F0357">
              <w:rPr>
                <w:vertAlign w:val="superscript"/>
                <w:lang w:val="en-US" w:eastAsia="en-US"/>
              </w:rPr>
              <w:t>-</w:t>
            </w:r>
            <w:r>
              <w:rPr>
                <w:vertAlign w:val="superscript"/>
                <w:lang w:val="en-US" w:eastAsia="en-US"/>
              </w:rPr>
              <w:t>3</w:t>
            </w:r>
          </w:p>
        </w:tc>
      </w:tr>
      <w:tr w:rsidR="006F0357" w14:paraId="1BAF7BEA" w14:textId="77777777" w:rsidTr="00240310">
        <w:tc>
          <w:tcPr>
            <w:tcW w:w="1278" w:type="dxa"/>
          </w:tcPr>
          <w:p w14:paraId="1FB8EBD4" w14:textId="3F6BAD64" w:rsidR="006F0357" w:rsidRDefault="006F0357" w:rsidP="006732AE">
            <w:pPr>
              <w:widowControl w:val="0"/>
              <w:autoSpaceDE w:val="0"/>
              <w:autoSpaceDN w:val="0"/>
              <w:adjustRightInd w:val="0"/>
              <w:rPr>
                <w:lang w:val="en-US" w:eastAsia="en-US"/>
              </w:rPr>
            </w:pPr>
            <w:r>
              <w:rPr>
                <w:lang w:val="en-US" w:eastAsia="en-US"/>
              </w:rPr>
              <w:t>Mars</w:t>
            </w:r>
          </w:p>
        </w:tc>
        <w:tc>
          <w:tcPr>
            <w:tcW w:w="1674" w:type="dxa"/>
          </w:tcPr>
          <w:p w14:paraId="143BEE93" w14:textId="012D66CE" w:rsidR="006F0357" w:rsidRDefault="006F0357" w:rsidP="006732AE">
            <w:pPr>
              <w:widowControl w:val="0"/>
              <w:autoSpaceDE w:val="0"/>
              <w:autoSpaceDN w:val="0"/>
              <w:adjustRightInd w:val="0"/>
              <w:jc w:val="center"/>
              <w:rPr>
                <w:lang w:val="en-US" w:eastAsia="en-US"/>
              </w:rPr>
            </w:pPr>
            <w:r>
              <w:rPr>
                <w:lang w:val="en-US" w:eastAsia="en-US"/>
              </w:rPr>
              <w:t xml:space="preserve">1.5 </w:t>
            </w:r>
            <w:r w:rsidRPr="006F0357">
              <w:rPr>
                <w:rFonts w:ascii="Helvetica" w:hAnsi="Helvetica"/>
                <w:sz w:val="22"/>
                <w:lang w:val="en-US" w:eastAsia="en-US"/>
              </w:rPr>
              <w:t>x</w:t>
            </w:r>
            <w:r>
              <w:rPr>
                <w:lang w:val="en-US" w:eastAsia="en-US"/>
              </w:rPr>
              <w:t xml:space="preserve"> 10</w:t>
            </w:r>
            <w:r w:rsidRPr="006F0357">
              <w:rPr>
                <w:vertAlign w:val="superscript"/>
                <w:lang w:val="en-US" w:eastAsia="en-US"/>
              </w:rPr>
              <w:t>-2</w:t>
            </w:r>
          </w:p>
        </w:tc>
        <w:tc>
          <w:tcPr>
            <w:tcW w:w="1206" w:type="dxa"/>
          </w:tcPr>
          <w:p w14:paraId="5A3C269D" w14:textId="38ECCFD0" w:rsidR="006F0357" w:rsidRDefault="006F0357" w:rsidP="006732AE">
            <w:pPr>
              <w:widowControl w:val="0"/>
              <w:autoSpaceDE w:val="0"/>
              <w:autoSpaceDN w:val="0"/>
              <w:adjustRightInd w:val="0"/>
              <w:jc w:val="center"/>
              <w:rPr>
                <w:lang w:val="en-US" w:eastAsia="en-US"/>
              </w:rPr>
            </w:pPr>
            <w:r>
              <w:rPr>
                <w:lang w:val="en-US" w:eastAsia="en-US"/>
              </w:rPr>
              <w:t xml:space="preserve">1.1 </w:t>
            </w:r>
            <w:r w:rsidRPr="006F0357">
              <w:rPr>
                <w:rFonts w:ascii="Helvetica" w:hAnsi="Helvetica"/>
                <w:sz w:val="22"/>
                <w:lang w:val="en-US" w:eastAsia="en-US"/>
              </w:rPr>
              <w:t>x</w:t>
            </w:r>
            <w:r>
              <w:rPr>
                <w:lang w:val="en-US" w:eastAsia="en-US"/>
              </w:rPr>
              <w:t xml:space="preserve"> 10</w:t>
            </w:r>
            <w:r w:rsidRPr="006F0357">
              <w:rPr>
                <w:vertAlign w:val="superscript"/>
                <w:lang w:val="en-US" w:eastAsia="en-US"/>
              </w:rPr>
              <w:t>-</w:t>
            </w:r>
            <w:r>
              <w:rPr>
                <w:vertAlign w:val="superscript"/>
                <w:lang w:val="en-US" w:eastAsia="en-US"/>
              </w:rPr>
              <w:t>5</w:t>
            </w:r>
          </w:p>
        </w:tc>
        <w:tc>
          <w:tcPr>
            <w:tcW w:w="1746" w:type="dxa"/>
          </w:tcPr>
          <w:p w14:paraId="50A22B21" w14:textId="642B67E6" w:rsidR="006F0357" w:rsidRDefault="00846484" w:rsidP="006732AE">
            <w:pPr>
              <w:widowControl w:val="0"/>
              <w:autoSpaceDE w:val="0"/>
              <w:autoSpaceDN w:val="0"/>
              <w:adjustRightInd w:val="0"/>
              <w:jc w:val="center"/>
              <w:rPr>
                <w:lang w:val="en-US" w:eastAsia="en-US"/>
              </w:rPr>
            </w:pPr>
            <w:r>
              <w:rPr>
                <w:lang w:val="en-US" w:eastAsia="en-US"/>
              </w:rPr>
              <w:t>0.016</w:t>
            </w:r>
          </w:p>
        </w:tc>
        <w:tc>
          <w:tcPr>
            <w:tcW w:w="1584" w:type="dxa"/>
          </w:tcPr>
          <w:p w14:paraId="785D5F83" w14:textId="16BE63D9" w:rsidR="006F0357" w:rsidRDefault="006F0357" w:rsidP="006732AE">
            <w:pPr>
              <w:widowControl w:val="0"/>
              <w:autoSpaceDE w:val="0"/>
              <w:autoSpaceDN w:val="0"/>
              <w:adjustRightInd w:val="0"/>
              <w:jc w:val="center"/>
              <w:rPr>
                <w:lang w:val="en-US" w:eastAsia="en-US"/>
              </w:rPr>
            </w:pPr>
            <w:r>
              <w:rPr>
                <w:lang w:val="en-US" w:eastAsia="en-US"/>
              </w:rPr>
              <w:t>840</w:t>
            </w:r>
          </w:p>
        </w:tc>
        <w:tc>
          <w:tcPr>
            <w:tcW w:w="1368" w:type="dxa"/>
          </w:tcPr>
          <w:p w14:paraId="31260C38" w14:textId="6907E0A6" w:rsidR="006F0357" w:rsidRDefault="006F0357" w:rsidP="006732AE">
            <w:pPr>
              <w:widowControl w:val="0"/>
              <w:autoSpaceDE w:val="0"/>
              <w:autoSpaceDN w:val="0"/>
              <w:adjustRightInd w:val="0"/>
              <w:jc w:val="center"/>
              <w:rPr>
                <w:lang w:val="en-US" w:eastAsia="en-US"/>
              </w:rPr>
            </w:pPr>
            <w:r>
              <w:rPr>
                <w:lang w:val="en-US" w:eastAsia="en-US"/>
              </w:rPr>
              <w:t xml:space="preserve">4.7 </w:t>
            </w:r>
            <w:r w:rsidRPr="006F0357">
              <w:rPr>
                <w:rFonts w:ascii="Helvetica" w:hAnsi="Helvetica"/>
                <w:sz w:val="22"/>
                <w:lang w:val="en-US" w:eastAsia="en-US"/>
              </w:rPr>
              <w:t>x</w:t>
            </w:r>
            <w:r>
              <w:rPr>
                <w:lang w:val="en-US" w:eastAsia="en-US"/>
              </w:rPr>
              <w:t xml:space="preserve"> 10</w:t>
            </w:r>
            <w:r w:rsidRPr="006F0357">
              <w:rPr>
                <w:vertAlign w:val="superscript"/>
                <w:lang w:val="en-US" w:eastAsia="en-US"/>
              </w:rPr>
              <w:t>-</w:t>
            </w:r>
            <w:r>
              <w:rPr>
                <w:vertAlign w:val="superscript"/>
                <w:lang w:val="en-US" w:eastAsia="en-US"/>
              </w:rPr>
              <w:t>3</w:t>
            </w:r>
          </w:p>
        </w:tc>
      </w:tr>
      <w:tr w:rsidR="006F0357" w14:paraId="79AF6F66" w14:textId="77777777" w:rsidTr="00240310">
        <w:tc>
          <w:tcPr>
            <w:tcW w:w="1278" w:type="dxa"/>
            <w:tcBorders>
              <w:bottom w:val="single" w:sz="8" w:space="0" w:color="auto"/>
            </w:tcBorders>
          </w:tcPr>
          <w:p w14:paraId="363182FF" w14:textId="20E7B863" w:rsidR="006F0357" w:rsidRDefault="006F0357" w:rsidP="006732AE">
            <w:pPr>
              <w:widowControl w:val="0"/>
              <w:autoSpaceDE w:val="0"/>
              <w:autoSpaceDN w:val="0"/>
              <w:adjustRightInd w:val="0"/>
              <w:rPr>
                <w:lang w:val="en-US" w:eastAsia="en-US"/>
              </w:rPr>
            </w:pPr>
            <w:r>
              <w:rPr>
                <w:lang w:val="en-US" w:eastAsia="en-US"/>
              </w:rPr>
              <w:t>Venus</w:t>
            </w:r>
          </w:p>
        </w:tc>
        <w:tc>
          <w:tcPr>
            <w:tcW w:w="1674" w:type="dxa"/>
            <w:tcBorders>
              <w:bottom w:val="single" w:sz="8" w:space="0" w:color="auto"/>
            </w:tcBorders>
          </w:tcPr>
          <w:p w14:paraId="247B32F3" w14:textId="4EBEC100" w:rsidR="006F0357" w:rsidRDefault="006F0357" w:rsidP="006732AE">
            <w:pPr>
              <w:widowControl w:val="0"/>
              <w:autoSpaceDE w:val="0"/>
              <w:autoSpaceDN w:val="0"/>
              <w:adjustRightInd w:val="0"/>
              <w:jc w:val="center"/>
              <w:rPr>
                <w:lang w:val="en-US" w:eastAsia="en-US"/>
              </w:rPr>
            </w:pPr>
            <w:r>
              <w:rPr>
                <w:lang w:val="en-US" w:eastAsia="en-US"/>
              </w:rPr>
              <w:t>60</w:t>
            </w:r>
          </w:p>
        </w:tc>
        <w:tc>
          <w:tcPr>
            <w:tcW w:w="1206" w:type="dxa"/>
            <w:tcBorders>
              <w:bottom w:val="single" w:sz="8" w:space="0" w:color="auto"/>
            </w:tcBorders>
          </w:tcPr>
          <w:p w14:paraId="255E649A" w14:textId="4CB172BB" w:rsidR="006F0357" w:rsidRDefault="006F0357" w:rsidP="006732AE">
            <w:pPr>
              <w:widowControl w:val="0"/>
              <w:autoSpaceDE w:val="0"/>
              <w:autoSpaceDN w:val="0"/>
              <w:adjustRightInd w:val="0"/>
              <w:jc w:val="center"/>
              <w:rPr>
                <w:lang w:val="en-US" w:eastAsia="en-US"/>
              </w:rPr>
            </w:pPr>
            <w:r>
              <w:rPr>
                <w:lang w:val="en-US" w:eastAsia="en-US"/>
              </w:rPr>
              <w:t xml:space="preserve">1.8 </w:t>
            </w:r>
            <w:r w:rsidRPr="006F0357">
              <w:rPr>
                <w:rFonts w:ascii="Helvetica" w:hAnsi="Helvetica"/>
                <w:sz w:val="22"/>
                <w:lang w:val="en-US" w:eastAsia="en-US"/>
              </w:rPr>
              <w:t>x</w:t>
            </w:r>
            <w:r>
              <w:rPr>
                <w:lang w:val="en-US" w:eastAsia="en-US"/>
              </w:rPr>
              <w:t xml:space="preserve"> 10</w:t>
            </w:r>
            <w:r w:rsidRPr="006F0357">
              <w:rPr>
                <w:vertAlign w:val="superscript"/>
                <w:lang w:val="en-US" w:eastAsia="en-US"/>
              </w:rPr>
              <w:t>-</w:t>
            </w:r>
            <w:r>
              <w:rPr>
                <w:vertAlign w:val="superscript"/>
                <w:lang w:val="en-US" w:eastAsia="en-US"/>
              </w:rPr>
              <w:t>4</w:t>
            </w:r>
          </w:p>
        </w:tc>
        <w:tc>
          <w:tcPr>
            <w:tcW w:w="1746" w:type="dxa"/>
            <w:tcBorders>
              <w:bottom w:val="single" w:sz="8" w:space="0" w:color="auto"/>
            </w:tcBorders>
          </w:tcPr>
          <w:p w14:paraId="314636FF" w14:textId="6F1FE871" w:rsidR="006F0357" w:rsidRDefault="00846484" w:rsidP="006732AE">
            <w:pPr>
              <w:widowControl w:val="0"/>
              <w:autoSpaceDE w:val="0"/>
              <w:autoSpaceDN w:val="0"/>
              <w:adjustRightInd w:val="0"/>
              <w:jc w:val="center"/>
              <w:rPr>
                <w:lang w:val="en-US" w:eastAsia="en-US"/>
              </w:rPr>
            </w:pPr>
            <w:r>
              <w:rPr>
                <w:lang w:val="en-US" w:eastAsia="en-US"/>
              </w:rPr>
              <w:t>0.057</w:t>
            </w:r>
          </w:p>
        </w:tc>
        <w:tc>
          <w:tcPr>
            <w:tcW w:w="1584" w:type="dxa"/>
            <w:tcBorders>
              <w:bottom w:val="single" w:sz="8" w:space="0" w:color="auto"/>
            </w:tcBorders>
          </w:tcPr>
          <w:p w14:paraId="6DB8A050" w14:textId="21093E39" w:rsidR="006F0357" w:rsidRDefault="006F0357" w:rsidP="006732AE">
            <w:pPr>
              <w:widowControl w:val="0"/>
              <w:autoSpaceDE w:val="0"/>
              <w:autoSpaceDN w:val="0"/>
              <w:adjustRightInd w:val="0"/>
              <w:jc w:val="center"/>
              <w:rPr>
                <w:lang w:val="en-US" w:eastAsia="en-US"/>
              </w:rPr>
            </w:pPr>
            <w:r>
              <w:rPr>
                <w:lang w:val="en-US" w:eastAsia="en-US"/>
              </w:rPr>
              <w:t>1140</w:t>
            </w:r>
          </w:p>
        </w:tc>
        <w:tc>
          <w:tcPr>
            <w:tcW w:w="1368" w:type="dxa"/>
            <w:tcBorders>
              <w:bottom w:val="single" w:sz="8" w:space="0" w:color="auto"/>
            </w:tcBorders>
          </w:tcPr>
          <w:p w14:paraId="5EEB086F" w14:textId="1E02CD00" w:rsidR="006F0357" w:rsidRDefault="006F0357" w:rsidP="006732AE">
            <w:pPr>
              <w:widowControl w:val="0"/>
              <w:autoSpaceDE w:val="0"/>
              <w:autoSpaceDN w:val="0"/>
              <w:adjustRightInd w:val="0"/>
              <w:jc w:val="center"/>
              <w:rPr>
                <w:lang w:val="en-US" w:eastAsia="en-US"/>
              </w:rPr>
            </w:pPr>
            <w:r>
              <w:rPr>
                <w:lang w:val="en-US" w:eastAsia="en-US"/>
              </w:rPr>
              <w:t xml:space="preserve">1.3 </w:t>
            </w:r>
            <w:r w:rsidRPr="006F0357">
              <w:rPr>
                <w:rFonts w:ascii="Helvetica" w:hAnsi="Helvetica"/>
                <w:sz w:val="22"/>
                <w:lang w:val="en-US" w:eastAsia="en-US"/>
              </w:rPr>
              <w:t>x</w:t>
            </w:r>
            <w:r>
              <w:rPr>
                <w:lang w:val="en-US" w:eastAsia="en-US"/>
              </w:rPr>
              <w:t xml:space="preserve"> 10</w:t>
            </w:r>
            <w:r w:rsidRPr="006F0357">
              <w:rPr>
                <w:vertAlign w:val="superscript"/>
                <w:lang w:val="en-US" w:eastAsia="en-US"/>
              </w:rPr>
              <w:t>-</w:t>
            </w:r>
            <w:r>
              <w:rPr>
                <w:vertAlign w:val="superscript"/>
                <w:lang w:val="en-US" w:eastAsia="en-US"/>
              </w:rPr>
              <w:t>3</w:t>
            </w:r>
          </w:p>
        </w:tc>
      </w:tr>
    </w:tbl>
    <w:p w14:paraId="1FCCC320" w14:textId="77777777" w:rsidR="006F0357" w:rsidRPr="006F0357" w:rsidRDefault="006F0357" w:rsidP="006732AE">
      <w:pPr>
        <w:widowControl w:val="0"/>
        <w:autoSpaceDE w:val="0"/>
        <w:autoSpaceDN w:val="0"/>
        <w:adjustRightInd w:val="0"/>
        <w:rPr>
          <w:lang w:val="en-US" w:eastAsia="en-US"/>
        </w:rPr>
      </w:pPr>
    </w:p>
    <w:p w14:paraId="128E0208" w14:textId="77777777" w:rsidR="009300B5" w:rsidRDefault="009300B5" w:rsidP="006732AE">
      <w:pPr>
        <w:pStyle w:val="ListParagraph"/>
        <w:widowControl w:val="0"/>
        <w:autoSpaceDE w:val="0"/>
        <w:autoSpaceDN w:val="0"/>
        <w:adjustRightInd w:val="0"/>
        <w:ind w:left="810"/>
        <w:rPr>
          <w:lang w:val="en-US" w:eastAsia="en-US"/>
        </w:rPr>
      </w:pPr>
    </w:p>
    <w:p w14:paraId="3136800B" w14:textId="77777777" w:rsidR="006732AE" w:rsidRDefault="006732AE" w:rsidP="006732AE">
      <w:pPr>
        <w:widowControl w:val="0"/>
        <w:tabs>
          <w:tab w:val="left" w:pos="720"/>
        </w:tabs>
        <w:autoSpaceDE w:val="0"/>
        <w:autoSpaceDN w:val="0"/>
        <w:adjustRightInd w:val="0"/>
        <w:rPr>
          <w:b/>
          <w:lang w:val="en-US" w:eastAsia="en-US"/>
        </w:rPr>
      </w:pPr>
    </w:p>
    <w:p w14:paraId="12DAF3DA" w14:textId="77777777" w:rsidR="006732AE" w:rsidRDefault="006732AE" w:rsidP="006732AE">
      <w:pPr>
        <w:widowControl w:val="0"/>
        <w:tabs>
          <w:tab w:val="left" w:pos="720"/>
        </w:tabs>
        <w:autoSpaceDE w:val="0"/>
        <w:autoSpaceDN w:val="0"/>
        <w:adjustRightInd w:val="0"/>
        <w:rPr>
          <w:b/>
          <w:lang w:val="en-US" w:eastAsia="en-US"/>
        </w:rPr>
      </w:pPr>
    </w:p>
    <w:p w14:paraId="74C99B1A" w14:textId="77777777" w:rsidR="006732AE" w:rsidRDefault="006732AE" w:rsidP="006732AE">
      <w:pPr>
        <w:widowControl w:val="0"/>
        <w:tabs>
          <w:tab w:val="left" w:pos="720"/>
        </w:tabs>
        <w:autoSpaceDE w:val="0"/>
        <w:autoSpaceDN w:val="0"/>
        <w:adjustRightInd w:val="0"/>
        <w:rPr>
          <w:b/>
          <w:lang w:val="en-US" w:eastAsia="en-US"/>
        </w:rPr>
      </w:pPr>
    </w:p>
    <w:p w14:paraId="75503B63" w14:textId="77777777" w:rsidR="006732AE" w:rsidRDefault="006732AE" w:rsidP="006732AE">
      <w:pPr>
        <w:widowControl w:val="0"/>
        <w:tabs>
          <w:tab w:val="left" w:pos="720"/>
        </w:tabs>
        <w:autoSpaceDE w:val="0"/>
        <w:autoSpaceDN w:val="0"/>
        <w:adjustRightInd w:val="0"/>
        <w:rPr>
          <w:b/>
          <w:lang w:val="en-US" w:eastAsia="en-US"/>
        </w:rPr>
      </w:pPr>
    </w:p>
    <w:p w14:paraId="22034A6A" w14:textId="77777777" w:rsidR="006732AE" w:rsidRDefault="006732AE" w:rsidP="006732AE">
      <w:pPr>
        <w:widowControl w:val="0"/>
        <w:tabs>
          <w:tab w:val="left" w:pos="720"/>
        </w:tabs>
        <w:autoSpaceDE w:val="0"/>
        <w:autoSpaceDN w:val="0"/>
        <w:adjustRightInd w:val="0"/>
        <w:rPr>
          <w:b/>
          <w:lang w:val="en-US" w:eastAsia="en-US"/>
        </w:rPr>
      </w:pPr>
    </w:p>
    <w:p w14:paraId="6CF0A1F4" w14:textId="418EEB40" w:rsidR="00BC2E58" w:rsidRPr="006732AE" w:rsidRDefault="006732AE" w:rsidP="006732AE">
      <w:pPr>
        <w:widowControl w:val="0"/>
        <w:tabs>
          <w:tab w:val="left" w:pos="720"/>
        </w:tabs>
        <w:autoSpaceDE w:val="0"/>
        <w:autoSpaceDN w:val="0"/>
        <w:adjustRightInd w:val="0"/>
        <w:rPr>
          <w:b/>
          <w:lang w:val="en-US"/>
        </w:rPr>
      </w:pPr>
      <w:r>
        <w:rPr>
          <w:b/>
          <w:lang w:val="en-US" w:eastAsia="en-US"/>
        </w:rPr>
        <w:t xml:space="preserve">Exercise 17.2 </w:t>
      </w:r>
      <w:r w:rsidR="00846484" w:rsidRPr="006732AE">
        <w:rPr>
          <w:b/>
          <w:lang w:val="en-US" w:eastAsia="en-US"/>
        </w:rPr>
        <w:t>Volatile exsolution and magma fragmentation</w:t>
      </w:r>
    </w:p>
    <w:p w14:paraId="18AFF429" w14:textId="77777777" w:rsidR="006732AE" w:rsidRDefault="006732AE" w:rsidP="006732AE">
      <w:pPr>
        <w:widowControl w:val="0"/>
        <w:tabs>
          <w:tab w:val="left" w:pos="720"/>
        </w:tabs>
        <w:autoSpaceDE w:val="0"/>
        <w:autoSpaceDN w:val="0"/>
        <w:adjustRightInd w:val="0"/>
        <w:rPr>
          <w:b/>
          <w:lang w:val="en-US"/>
        </w:rPr>
      </w:pPr>
    </w:p>
    <w:p w14:paraId="68E65335" w14:textId="22E3D004" w:rsidR="00846484" w:rsidRDefault="00846484" w:rsidP="006732AE">
      <w:pPr>
        <w:widowControl w:val="0"/>
        <w:tabs>
          <w:tab w:val="left" w:pos="720"/>
        </w:tabs>
        <w:autoSpaceDE w:val="0"/>
        <w:autoSpaceDN w:val="0"/>
        <w:adjustRightInd w:val="0"/>
        <w:rPr>
          <w:lang w:val="en-US"/>
        </w:rPr>
      </w:pPr>
      <w:r w:rsidRPr="00846484">
        <w:rPr>
          <w:lang w:val="en-US"/>
        </w:rPr>
        <w:t>Consider</w:t>
      </w:r>
      <w:r>
        <w:rPr>
          <w:lang w:val="en-US"/>
        </w:rPr>
        <w:t xml:space="preserve"> the ascent of basaltic magma through the lithospheres of Earth, Mars and Venus.  A simple solubility law for magmatic water in basaltic magma is given by</w:t>
      </w:r>
    </w:p>
    <w:p w14:paraId="734A8B50" w14:textId="77777777" w:rsidR="006732AE" w:rsidRDefault="006732AE" w:rsidP="006732AE">
      <w:pPr>
        <w:widowControl w:val="0"/>
        <w:tabs>
          <w:tab w:val="left" w:pos="720"/>
        </w:tabs>
        <w:autoSpaceDE w:val="0"/>
        <w:autoSpaceDN w:val="0"/>
        <w:adjustRightInd w:val="0"/>
        <w:rPr>
          <w:lang w:val="en-US"/>
        </w:rPr>
      </w:pPr>
    </w:p>
    <w:p w14:paraId="28386A12" w14:textId="51EB2BF5" w:rsidR="00846484" w:rsidRDefault="00846484" w:rsidP="006732AE">
      <w:pPr>
        <w:widowControl w:val="0"/>
        <w:tabs>
          <w:tab w:val="left" w:pos="720"/>
        </w:tabs>
        <w:autoSpaceDE w:val="0"/>
        <w:autoSpaceDN w:val="0"/>
        <w:adjustRightInd w:val="0"/>
        <w:rPr>
          <w:vertAlign w:val="superscript"/>
          <w:lang w:val="en-US"/>
        </w:rPr>
      </w:pPr>
      <w:r w:rsidRPr="00846484">
        <w:rPr>
          <w:i/>
          <w:lang w:val="en-US"/>
        </w:rPr>
        <w:t>n</w:t>
      </w:r>
      <w:r w:rsidRPr="00846484">
        <w:rPr>
          <w:i/>
          <w:vertAlign w:val="subscript"/>
          <w:lang w:val="en-US"/>
        </w:rPr>
        <w:t>d</w:t>
      </w:r>
      <w:r>
        <w:rPr>
          <w:lang w:val="en-US"/>
        </w:rPr>
        <w:t xml:space="preserve"> = 6.8 x 10</w:t>
      </w:r>
      <w:r w:rsidRPr="00846484">
        <w:rPr>
          <w:vertAlign w:val="superscript"/>
          <w:lang w:val="en-US"/>
        </w:rPr>
        <w:t>-6</w:t>
      </w:r>
      <w:r>
        <w:rPr>
          <w:lang w:val="en-US"/>
        </w:rPr>
        <w:t xml:space="preserve"> </w:t>
      </w:r>
      <w:r w:rsidRPr="00846484">
        <w:rPr>
          <w:i/>
          <w:lang w:val="en-US"/>
        </w:rPr>
        <w:t>P</w:t>
      </w:r>
      <w:r w:rsidRPr="00846484">
        <w:rPr>
          <w:vertAlign w:val="superscript"/>
          <w:lang w:val="en-US"/>
        </w:rPr>
        <w:t>0.7</w:t>
      </w:r>
    </w:p>
    <w:p w14:paraId="0DCF6EDB" w14:textId="77777777" w:rsidR="006732AE" w:rsidRDefault="006732AE" w:rsidP="006732AE">
      <w:pPr>
        <w:widowControl w:val="0"/>
        <w:tabs>
          <w:tab w:val="left" w:pos="720"/>
        </w:tabs>
        <w:autoSpaceDE w:val="0"/>
        <w:autoSpaceDN w:val="0"/>
        <w:adjustRightInd w:val="0"/>
        <w:rPr>
          <w:lang w:val="en-US"/>
        </w:rPr>
      </w:pPr>
    </w:p>
    <w:p w14:paraId="46023F5A" w14:textId="3C7A1C32" w:rsidR="00846484" w:rsidRDefault="00846484" w:rsidP="006732AE">
      <w:pPr>
        <w:widowControl w:val="0"/>
        <w:tabs>
          <w:tab w:val="left" w:pos="720"/>
        </w:tabs>
        <w:autoSpaceDE w:val="0"/>
        <w:autoSpaceDN w:val="0"/>
        <w:adjustRightInd w:val="0"/>
        <w:rPr>
          <w:lang w:val="en-US"/>
        </w:rPr>
      </w:pPr>
      <w:r>
        <w:rPr>
          <w:lang w:val="en-US"/>
        </w:rPr>
        <w:t xml:space="preserve">where </w:t>
      </w:r>
      <w:r w:rsidRPr="00846484">
        <w:rPr>
          <w:i/>
          <w:lang w:val="en-US"/>
        </w:rPr>
        <w:t>n</w:t>
      </w:r>
      <w:r w:rsidRPr="00846484">
        <w:rPr>
          <w:i/>
          <w:vertAlign w:val="subscript"/>
          <w:lang w:val="en-US"/>
        </w:rPr>
        <w:t>d</w:t>
      </w:r>
      <w:r>
        <w:rPr>
          <w:lang w:val="en-US"/>
        </w:rPr>
        <w:t xml:space="preserve"> is the mass fraction of water dissolved in the magma, and </w:t>
      </w:r>
      <w:r w:rsidRPr="00846484">
        <w:rPr>
          <w:i/>
          <w:lang w:val="en-US"/>
        </w:rPr>
        <w:t>P</w:t>
      </w:r>
      <w:r>
        <w:rPr>
          <w:lang w:val="en-US"/>
        </w:rPr>
        <w:t xml:space="preserve"> is the pressure experienced by the magma at depth </w:t>
      </w:r>
      <w:r w:rsidRPr="00846484">
        <w:rPr>
          <w:i/>
          <w:lang w:val="en-US"/>
        </w:rPr>
        <w:t>z</w:t>
      </w:r>
      <w:r>
        <w:rPr>
          <w:lang w:val="en-US"/>
        </w:rPr>
        <w:t>. This pressure is equal to the sum of the lithostatic pressure (=</w:t>
      </w:r>
      <w:r w:rsidRPr="00846484">
        <w:rPr>
          <w:rFonts w:ascii="Symbol" w:hAnsi="Symbol"/>
          <w:i/>
          <w:lang w:val="en-US"/>
        </w:rPr>
        <w:t></w:t>
      </w:r>
      <w:r>
        <w:rPr>
          <w:i/>
          <w:lang w:val="en-US"/>
        </w:rPr>
        <w:t xml:space="preserve"> </w:t>
      </w:r>
      <w:r w:rsidRPr="00846484">
        <w:rPr>
          <w:i/>
          <w:lang w:val="en-US"/>
        </w:rPr>
        <w:t>g</w:t>
      </w:r>
      <w:r>
        <w:rPr>
          <w:i/>
          <w:lang w:val="en-US"/>
        </w:rPr>
        <w:t xml:space="preserve"> </w:t>
      </w:r>
      <w:r w:rsidRPr="00846484">
        <w:rPr>
          <w:i/>
          <w:lang w:val="en-US"/>
        </w:rPr>
        <w:t>z</w:t>
      </w:r>
      <w:r>
        <w:rPr>
          <w:lang w:val="en-US"/>
        </w:rPr>
        <w:t xml:space="preserve">, where </w:t>
      </w:r>
      <w:r w:rsidRPr="00846484">
        <w:rPr>
          <w:rFonts w:ascii="Symbol" w:hAnsi="Symbol"/>
          <w:i/>
          <w:lang w:val="en-US"/>
        </w:rPr>
        <w:t></w:t>
      </w:r>
      <w:r w:rsidRPr="00846484">
        <w:rPr>
          <w:rFonts w:ascii="Symbol" w:hAnsi="Symbol"/>
          <w:i/>
          <w:lang w:val="en-US"/>
        </w:rPr>
        <w:t></w:t>
      </w:r>
      <w:r>
        <w:rPr>
          <w:lang w:val="en-US"/>
        </w:rPr>
        <w:t xml:space="preserve">is the density of the country rock) and the external atmospheric pressure, </w:t>
      </w:r>
      <w:r>
        <w:rPr>
          <w:i/>
          <w:lang w:val="en-US"/>
        </w:rPr>
        <w:t>P</w:t>
      </w:r>
      <w:r w:rsidRPr="00846484">
        <w:rPr>
          <w:i/>
          <w:vertAlign w:val="subscript"/>
          <w:lang w:val="en-US"/>
        </w:rPr>
        <w:t>a</w:t>
      </w:r>
      <w:r>
        <w:rPr>
          <w:lang w:val="en-US"/>
        </w:rPr>
        <w:t xml:space="preserve">. The mass fraction of exsolved water water </w:t>
      </w:r>
      <w:r w:rsidRPr="00846484">
        <w:rPr>
          <w:i/>
          <w:lang w:val="en-US"/>
        </w:rPr>
        <w:t>n</w:t>
      </w:r>
      <w:r w:rsidRPr="00846484">
        <w:rPr>
          <w:i/>
          <w:vertAlign w:val="subscript"/>
          <w:lang w:val="en-US"/>
        </w:rPr>
        <w:t>ex</w:t>
      </w:r>
      <w:r>
        <w:rPr>
          <w:lang w:val="en-US"/>
        </w:rPr>
        <w:t xml:space="preserve"> is then equal to the total magmatic water content </w:t>
      </w:r>
      <w:r w:rsidRPr="00846484">
        <w:rPr>
          <w:i/>
          <w:lang w:val="en-US"/>
        </w:rPr>
        <w:t>n</w:t>
      </w:r>
      <w:r w:rsidRPr="00846484">
        <w:rPr>
          <w:i/>
          <w:vertAlign w:val="subscript"/>
          <w:lang w:val="en-US"/>
        </w:rPr>
        <w:t>t</w:t>
      </w:r>
      <w:r>
        <w:rPr>
          <w:lang w:val="en-US"/>
        </w:rPr>
        <w:t xml:space="preserve"> minus the mass fraction remaining in solution </w:t>
      </w:r>
      <w:r w:rsidRPr="00846484">
        <w:rPr>
          <w:i/>
          <w:lang w:val="en-US"/>
        </w:rPr>
        <w:t>n</w:t>
      </w:r>
      <w:r w:rsidRPr="00846484">
        <w:rPr>
          <w:i/>
          <w:vertAlign w:val="subscript"/>
          <w:lang w:val="en-US"/>
        </w:rPr>
        <w:t>d</w:t>
      </w:r>
      <w:r>
        <w:rPr>
          <w:lang w:val="en-US"/>
        </w:rPr>
        <w:t xml:space="preserve">.  </w:t>
      </w:r>
    </w:p>
    <w:p w14:paraId="6B8836F0" w14:textId="77777777" w:rsidR="00846484" w:rsidRDefault="00846484" w:rsidP="006732AE">
      <w:pPr>
        <w:widowControl w:val="0"/>
        <w:tabs>
          <w:tab w:val="left" w:pos="720"/>
        </w:tabs>
        <w:autoSpaceDE w:val="0"/>
        <w:autoSpaceDN w:val="0"/>
        <w:adjustRightInd w:val="0"/>
        <w:rPr>
          <w:lang w:val="en-US"/>
        </w:rPr>
      </w:pPr>
    </w:p>
    <w:p w14:paraId="6A412F94" w14:textId="12EBE79B" w:rsidR="00846484" w:rsidRPr="00846484" w:rsidRDefault="00846484" w:rsidP="006732AE">
      <w:pPr>
        <w:pStyle w:val="ListParagraph"/>
        <w:widowControl w:val="0"/>
        <w:numPr>
          <w:ilvl w:val="0"/>
          <w:numId w:val="9"/>
        </w:numPr>
        <w:tabs>
          <w:tab w:val="left" w:pos="720"/>
        </w:tabs>
        <w:autoSpaceDE w:val="0"/>
        <w:autoSpaceDN w:val="0"/>
        <w:adjustRightInd w:val="0"/>
        <w:rPr>
          <w:lang w:val="en-US"/>
        </w:rPr>
      </w:pPr>
      <w:r w:rsidRPr="00846484">
        <w:rPr>
          <w:lang w:val="en-US"/>
        </w:rPr>
        <w:t>For magmatic H</w:t>
      </w:r>
      <w:r w:rsidRPr="00846484">
        <w:rPr>
          <w:vertAlign w:val="subscript"/>
          <w:lang w:val="en-US"/>
        </w:rPr>
        <w:t>2</w:t>
      </w:r>
      <w:r w:rsidRPr="00846484">
        <w:rPr>
          <w:lang w:val="en-US"/>
        </w:rPr>
        <w:t xml:space="preserve">O contents of </w:t>
      </w:r>
      <w:r>
        <w:rPr>
          <w:lang w:val="en-US"/>
        </w:rPr>
        <w:t>1</w:t>
      </w:r>
      <w:r w:rsidRPr="00846484">
        <w:rPr>
          <w:lang w:val="en-US"/>
        </w:rPr>
        <w:t xml:space="preserve">, 0.3 and </w:t>
      </w:r>
      <w:r>
        <w:rPr>
          <w:lang w:val="en-US"/>
        </w:rPr>
        <w:t>0.03</w:t>
      </w:r>
      <w:r w:rsidRPr="00846484">
        <w:rPr>
          <w:lang w:val="en-US"/>
        </w:rPr>
        <w:t xml:space="preserve"> wt.%, calculate the depth</w:t>
      </w:r>
      <w:r>
        <w:rPr>
          <w:lang w:val="en-US"/>
        </w:rPr>
        <w:t>s</w:t>
      </w:r>
      <w:r w:rsidRPr="00846484">
        <w:rPr>
          <w:lang w:val="en-US"/>
        </w:rPr>
        <w:t xml:space="preserve"> at which volatile exsolution commences on Earth, Mars, and Venus.</w:t>
      </w:r>
      <w:r>
        <w:rPr>
          <w:lang w:val="en-US"/>
        </w:rPr>
        <w:t xml:space="preserve">  Use information from Table 17.1 of Chapter 17 and assume a country rock density of 2700 kg m</w:t>
      </w:r>
      <w:r w:rsidRPr="00846484">
        <w:rPr>
          <w:vertAlign w:val="superscript"/>
          <w:lang w:val="en-US"/>
        </w:rPr>
        <w:t>-3</w:t>
      </w:r>
      <w:r>
        <w:rPr>
          <w:lang w:val="en-US"/>
        </w:rPr>
        <w:t>.  What is the issue on Venus?</w:t>
      </w:r>
    </w:p>
    <w:p w14:paraId="63B0808F" w14:textId="0E042DEF" w:rsidR="00846484" w:rsidRPr="00846484" w:rsidRDefault="00846484" w:rsidP="006732AE">
      <w:pPr>
        <w:pStyle w:val="ListParagraph"/>
        <w:widowControl w:val="0"/>
        <w:numPr>
          <w:ilvl w:val="0"/>
          <w:numId w:val="9"/>
        </w:numPr>
        <w:tabs>
          <w:tab w:val="left" w:pos="720"/>
        </w:tabs>
        <w:autoSpaceDE w:val="0"/>
        <w:autoSpaceDN w:val="0"/>
        <w:adjustRightInd w:val="0"/>
        <w:spacing w:before="120"/>
        <w:contextualSpacing w:val="0"/>
        <w:rPr>
          <w:lang w:val="en-US"/>
        </w:rPr>
      </w:pPr>
      <w:r>
        <w:rPr>
          <w:lang w:val="en-US"/>
        </w:rPr>
        <w:t>Assuming that magmas containing 1, 0.3 and 0.03 wt.% total H</w:t>
      </w:r>
      <w:r w:rsidRPr="00846484">
        <w:rPr>
          <w:vertAlign w:val="subscript"/>
          <w:lang w:val="en-US"/>
        </w:rPr>
        <w:t>2</w:t>
      </w:r>
      <w:r>
        <w:rPr>
          <w:lang w:val="en-US"/>
        </w:rPr>
        <w:t>O undergo fragmentation at pressures of ~3.2, 0.84 and 0.06</w:t>
      </w:r>
      <w:r w:rsidRPr="00846484">
        <w:rPr>
          <w:lang w:val="en-US"/>
        </w:rPr>
        <w:t xml:space="preserve"> MPa, respectively, calculate the </w:t>
      </w:r>
      <w:r>
        <w:rPr>
          <w:lang w:val="en-US"/>
        </w:rPr>
        <w:t xml:space="preserve">corresponding </w:t>
      </w:r>
      <w:r w:rsidRPr="00846484">
        <w:rPr>
          <w:lang w:val="en-US"/>
        </w:rPr>
        <w:t>fragmentation depths on Earth and Mars.</w:t>
      </w:r>
    </w:p>
    <w:p w14:paraId="3A3A38BF" w14:textId="4C542D34" w:rsidR="00846484" w:rsidRPr="00846484" w:rsidRDefault="00846484" w:rsidP="006732AE">
      <w:pPr>
        <w:pStyle w:val="ListParagraph"/>
        <w:widowControl w:val="0"/>
        <w:numPr>
          <w:ilvl w:val="0"/>
          <w:numId w:val="9"/>
        </w:numPr>
        <w:tabs>
          <w:tab w:val="left" w:pos="720"/>
        </w:tabs>
        <w:autoSpaceDE w:val="0"/>
        <w:autoSpaceDN w:val="0"/>
        <w:adjustRightInd w:val="0"/>
        <w:spacing w:before="120"/>
        <w:contextualSpacing w:val="0"/>
        <w:rPr>
          <w:lang w:val="en-US"/>
        </w:rPr>
      </w:pPr>
      <w:r>
        <w:rPr>
          <w:lang w:val="en-US"/>
        </w:rPr>
        <w:t>How much magmatic water would a venusian mag</w:t>
      </w:r>
      <w:bookmarkStart w:id="0" w:name="_GoBack"/>
      <w:bookmarkEnd w:id="0"/>
      <w:r>
        <w:rPr>
          <w:lang w:val="en-US"/>
        </w:rPr>
        <w:t>ma need to contain for (i) volatile exsolution and (ii) an explosive eruption to occur?</w:t>
      </w:r>
    </w:p>
    <w:p w14:paraId="6681FE8E" w14:textId="77777777" w:rsidR="0023766B" w:rsidRDefault="006732AE" w:rsidP="006732AE"/>
    <w:sectPr w:rsidR="0023766B" w:rsidSect="0023766B">
      <w:footerReference w:type="even" r:id="rId24"/>
      <w:footerReference w:type="default" r:id="rId2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C0658" w14:textId="77777777" w:rsidR="006732AE" w:rsidRDefault="006732AE" w:rsidP="006732AE">
      <w:r>
        <w:separator/>
      </w:r>
    </w:p>
  </w:endnote>
  <w:endnote w:type="continuationSeparator" w:id="0">
    <w:p w14:paraId="566200E9" w14:textId="77777777" w:rsidR="006732AE" w:rsidRDefault="006732AE" w:rsidP="00673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93614" w14:textId="77777777" w:rsidR="006732AE" w:rsidRDefault="006732AE" w:rsidP="005B1D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453A40C" w14:textId="77777777" w:rsidR="006732AE" w:rsidRDefault="006732A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6FB97" w14:textId="77777777" w:rsidR="006732AE" w:rsidRPr="006732AE" w:rsidRDefault="006732AE" w:rsidP="005B1DFD">
    <w:pPr>
      <w:pStyle w:val="Footer"/>
      <w:framePr w:wrap="around" w:vAnchor="text" w:hAnchor="margin" w:xAlign="center" w:y="1"/>
      <w:rPr>
        <w:rStyle w:val="PageNumber"/>
        <w:sz w:val="22"/>
      </w:rPr>
    </w:pPr>
    <w:r w:rsidRPr="006732AE">
      <w:rPr>
        <w:rStyle w:val="PageNumber"/>
        <w:sz w:val="22"/>
      </w:rPr>
      <w:fldChar w:fldCharType="begin"/>
    </w:r>
    <w:r w:rsidRPr="006732AE">
      <w:rPr>
        <w:rStyle w:val="PageNumber"/>
        <w:sz w:val="22"/>
      </w:rPr>
      <w:instrText xml:space="preserve">PAGE  </w:instrText>
    </w:r>
    <w:r w:rsidRPr="006732AE">
      <w:rPr>
        <w:rStyle w:val="PageNumber"/>
        <w:sz w:val="22"/>
      </w:rPr>
      <w:fldChar w:fldCharType="separate"/>
    </w:r>
    <w:r>
      <w:rPr>
        <w:rStyle w:val="PageNumber"/>
        <w:noProof/>
        <w:sz w:val="22"/>
      </w:rPr>
      <w:t>1</w:t>
    </w:r>
    <w:r w:rsidRPr="006732AE">
      <w:rPr>
        <w:rStyle w:val="PageNumber"/>
        <w:sz w:val="22"/>
      </w:rPr>
      <w:fldChar w:fldCharType="end"/>
    </w:r>
  </w:p>
  <w:p w14:paraId="5CB725EE" w14:textId="77777777" w:rsidR="006732AE" w:rsidRDefault="006732A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9055B" w14:textId="77777777" w:rsidR="006732AE" w:rsidRDefault="006732AE" w:rsidP="006732AE">
      <w:r>
        <w:separator/>
      </w:r>
    </w:p>
  </w:footnote>
  <w:footnote w:type="continuationSeparator" w:id="0">
    <w:p w14:paraId="3579BECF" w14:textId="77777777" w:rsidR="006732AE" w:rsidRDefault="006732AE" w:rsidP="006732A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1292B"/>
    <w:multiLevelType w:val="multilevel"/>
    <w:tmpl w:val="471A387C"/>
    <w:lvl w:ilvl="0">
      <w:start w:val="14"/>
      <w:numFmt w:val="decimal"/>
      <w:lvlText w:val="%1"/>
      <w:lvlJc w:val="left"/>
      <w:pPr>
        <w:ind w:left="420" w:hanging="420"/>
      </w:pPr>
      <w:rPr>
        <w:rFonts w:hint="default"/>
      </w:rPr>
    </w:lvl>
    <w:lvl w:ilvl="1">
      <w:start w:val="3"/>
      <w:numFmt w:val="decimal"/>
      <w:lvlText w:val="%1.%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188D019C"/>
    <w:multiLevelType w:val="multilevel"/>
    <w:tmpl w:val="9D1809C4"/>
    <w:lvl w:ilvl="0">
      <w:start w:val="14"/>
      <w:numFmt w:val="decimal"/>
      <w:lvlText w:val="%1"/>
      <w:lvlJc w:val="left"/>
      <w:pPr>
        <w:ind w:left="420" w:hanging="420"/>
      </w:pPr>
      <w:rPr>
        <w:rFonts w:hint="default"/>
      </w:rPr>
    </w:lvl>
    <w:lvl w:ilvl="1">
      <w:start w:val="2"/>
      <w:numFmt w:val="decimal"/>
      <w:lvlText w:val="%1.%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1F2A493D"/>
    <w:multiLevelType w:val="multilevel"/>
    <w:tmpl w:val="37CC08C0"/>
    <w:lvl w:ilvl="0">
      <w:start w:val="14"/>
      <w:numFmt w:val="decimal"/>
      <w:lvlText w:val="%1"/>
      <w:lvlJc w:val="left"/>
      <w:pPr>
        <w:ind w:left="420" w:hanging="420"/>
      </w:pPr>
      <w:rPr>
        <w:rFonts w:hint="default"/>
      </w:rPr>
    </w:lvl>
    <w:lvl w:ilvl="1">
      <w:start w:val="1"/>
      <w:numFmt w:val="decimal"/>
      <w:lvlText w:val="17.%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nsid w:val="22EC6828"/>
    <w:multiLevelType w:val="hybridMultilevel"/>
    <w:tmpl w:val="002E2C06"/>
    <w:lvl w:ilvl="0" w:tplc="9C86672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D22C5E"/>
    <w:multiLevelType w:val="multilevel"/>
    <w:tmpl w:val="CA00F9A4"/>
    <w:lvl w:ilvl="0">
      <w:start w:val="1"/>
      <w:numFmt w:val="decimal"/>
      <w:lvlText w:val="14.%1"/>
      <w:lvlJc w:val="left"/>
      <w:pPr>
        <w:ind w:left="36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C137261"/>
    <w:multiLevelType w:val="multilevel"/>
    <w:tmpl w:val="471A387C"/>
    <w:lvl w:ilvl="0">
      <w:start w:val="14"/>
      <w:numFmt w:val="decimal"/>
      <w:lvlText w:val="%1"/>
      <w:lvlJc w:val="left"/>
      <w:pPr>
        <w:ind w:left="420" w:hanging="420"/>
      </w:pPr>
      <w:rPr>
        <w:rFonts w:hint="default"/>
      </w:rPr>
    </w:lvl>
    <w:lvl w:ilvl="1">
      <w:start w:val="3"/>
      <w:numFmt w:val="decimal"/>
      <w:lvlText w:val="%1.%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57FB789F"/>
    <w:multiLevelType w:val="multilevel"/>
    <w:tmpl w:val="436CD1A6"/>
    <w:lvl w:ilvl="0">
      <w:start w:val="2"/>
      <w:numFmt w:val="decimal"/>
      <w:lvlText w:val="14.%1"/>
      <w:lvlJc w:val="left"/>
      <w:pPr>
        <w:ind w:left="360" w:hanging="360"/>
      </w:pPr>
      <w:rPr>
        <w:rFonts w:hint="default"/>
      </w:rPr>
    </w:lvl>
    <w:lvl w:ilvl="1">
      <w:start w:val="2"/>
      <w:numFmt w:val="lowerLetter"/>
      <w:lvlText w:val="(%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5A6D61E6"/>
    <w:multiLevelType w:val="multilevel"/>
    <w:tmpl w:val="56DC8824"/>
    <w:lvl w:ilvl="0">
      <w:start w:val="14"/>
      <w:numFmt w:val="decimal"/>
      <w:lvlText w:val="%1"/>
      <w:lvlJc w:val="left"/>
      <w:pPr>
        <w:ind w:left="420" w:hanging="420"/>
      </w:pPr>
      <w:rPr>
        <w:rFonts w:hint="default"/>
      </w:rPr>
    </w:lvl>
    <w:lvl w:ilvl="1">
      <w:start w:val="1"/>
      <w:numFmt w:val="decimal"/>
      <w:lvlText w:val="15.%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5EC90FFF"/>
    <w:multiLevelType w:val="multilevel"/>
    <w:tmpl w:val="CA00F9A4"/>
    <w:lvl w:ilvl="0">
      <w:start w:val="1"/>
      <w:numFmt w:val="decimal"/>
      <w:lvlText w:val="14.%1"/>
      <w:lvlJc w:val="left"/>
      <w:pPr>
        <w:ind w:left="900" w:hanging="360"/>
      </w:pPr>
      <w:rPr>
        <w:rFonts w:hint="default"/>
        <w:b/>
      </w:rPr>
    </w:lvl>
    <w:lvl w:ilvl="1">
      <w:start w:val="1"/>
      <w:numFmt w:val="lowerLetter"/>
      <w:lvlText w:val="(%2)"/>
      <w:lvlJc w:val="left"/>
      <w:pPr>
        <w:ind w:left="1980" w:hanging="360"/>
      </w:pPr>
      <w:rPr>
        <w:rFonts w:hint="default"/>
      </w:rPr>
    </w:lvl>
    <w:lvl w:ilvl="2">
      <w:start w:val="1"/>
      <w:numFmt w:val="lowerRoman"/>
      <w:lvlText w:val="%3."/>
      <w:lvlJc w:val="right"/>
      <w:pPr>
        <w:ind w:left="2700" w:hanging="18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9">
    <w:nsid w:val="65CE6BAF"/>
    <w:multiLevelType w:val="hybridMultilevel"/>
    <w:tmpl w:val="A22867B4"/>
    <w:lvl w:ilvl="0" w:tplc="7E341770">
      <w:start w:val="1"/>
      <w:numFmt w:val="lowerLetter"/>
      <w:lvlText w:val="(%1)"/>
      <w:lvlJc w:val="left"/>
      <w:pPr>
        <w:ind w:left="1166" w:hanging="360"/>
      </w:pPr>
      <w:rPr>
        <w:rFonts w:hint="default"/>
        <w:b/>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num w:numId="1">
    <w:abstractNumId w:val="8"/>
  </w:num>
  <w:num w:numId="2">
    <w:abstractNumId w:val="6"/>
  </w:num>
  <w:num w:numId="3">
    <w:abstractNumId w:val="4"/>
  </w:num>
  <w:num w:numId="4">
    <w:abstractNumId w:val="5"/>
  </w:num>
  <w:num w:numId="5">
    <w:abstractNumId w:val="0"/>
  </w:num>
  <w:num w:numId="6">
    <w:abstractNumId w:val="2"/>
  </w:num>
  <w:num w:numId="7">
    <w:abstractNumId w:val="1"/>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E58"/>
    <w:rsid w:val="001C76EA"/>
    <w:rsid w:val="00240310"/>
    <w:rsid w:val="0040638F"/>
    <w:rsid w:val="006732AE"/>
    <w:rsid w:val="00677563"/>
    <w:rsid w:val="006F0357"/>
    <w:rsid w:val="00704203"/>
    <w:rsid w:val="007E16A5"/>
    <w:rsid w:val="00846484"/>
    <w:rsid w:val="009300B5"/>
    <w:rsid w:val="00AE0AB2"/>
    <w:rsid w:val="00B575C3"/>
    <w:rsid w:val="00BC2E58"/>
    <w:rsid w:val="00C75C23"/>
    <w:rsid w:val="00E63E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50"/>
    <o:shapelayout v:ext="edit">
      <o:idmap v:ext="edit" data="1"/>
    </o:shapelayout>
  </w:shapeDefaults>
  <w:decimalSymbol w:val="."/>
  <w:listSeparator w:val=","/>
  <w14:docId w14:val="4806C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C2E58"/>
    <w:pPr>
      <w:spacing w:after="0"/>
    </w:pPr>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E58"/>
    <w:pPr>
      <w:ind w:left="720"/>
      <w:contextualSpacing/>
    </w:pPr>
  </w:style>
  <w:style w:type="table" w:styleId="TableGrid">
    <w:name w:val="Table Grid"/>
    <w:basedOn w:val="TableNormal"/>
    <w:rsid w:val="006F035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6732AE"/>
    <w:pPr>
      <w:tabs>
        <w:tab w:val="center" w:pos="4320"/>
        <w:tab w:val="right" w:pos="8640"/>
      </w:tabs>
    </w:pPr>
  </w:style>
  <w:style w:type="character" w:customStyle="1" w:styleId="FooterChar">
    <w:name w:val="Footer Char"/>
    <w:basedOn w:val="DefaultParagraphFont"/>
    <w:link w:val="Footer"/>
    <w:rsid w:val="006732AE"/>
    <w:rPr>
      <w:rFonts w:ascii="Times New Roman" w:eastAsia="Times New Roman" w:hAnsi="Times New Roman" w:cs="Times New Roman"/>
      <w:lang w:val="en-GB" w:eastAsia="en-GB"/>
    </w:rPr>
  </w:style>
  <w:style w:type="character" w:styleId="PageNumber">
    <w:name w:val="page number"/>
    <w:basedOn w:val="DefaultParagraphFont"/>
    <w:rsid w:val="006732AE"/>
  </w:style>
  <w:style w:type="paragraph" w:styleId="Header">
    <w:name w:val="header"/>
    <w:basedOn w:val="Normal"/>
    <w:link w:val="HeaderChar"/>
    <w:rsid w:val="006732AE"/>
    <w:pPr>
      <w:tabs>
        <w:tab w:val="center" w:pos="4320"/>
        <w:tab w:val="right" w:pos="8640"/>
      </w:tabs>
    </w:pPr>
  </w:style>
  <w:style w:type="character" w:customStyle="1" w:styleId="HeaderChar">
    <w:name w:val="Header Char"/>
    <w:basedOn w:val="DefaultParagraphFont"/>
    <w:link w:val="Header"/>
    <w:rsid w:val="006732AE"/>
    <w:rPr>
      <w:rFonts w:ascii="Times New Roman" w:eastAsia="Times New Roman" w:hAnsi="Times New Roman" w:cs="Times New Roman"/>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C2E58"/>
    <w:pPr>
      <w:spacing w:after="0"/>
    </w:pPr>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E58"/>
    <w:pPr>
      <w:ind w:left="720"/>
      <w:contextualSpacing/>
    </w:pPr>
  </w:style>
  <w:style w:type="table" w:styleId="TableGrid">
    <w:name w:val="Table Grid"/>
    <w:basedOn w:val="TableNormal"/>
    <w:rsid w:val="006F035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6732AE"/>
    <w:pPr>
      <w:tabs>
        <w:tab w:val="center" w:pos="4320"/>
        <w:tab w:val="right" w:pos="8640"/>
      </w:tabs>
    </w:pPr>
  </w:style>
  <w:style w:type="character" w:customStyle="1" w:styleId="FooterChar">
    <w:name w:val="Footer Char"/>
    <w:basedOn w:val="DefaultParagraphFont"/>
    <w:link w:val="Footer"/>
    <w:rsid w:val="006732AE"/>
    <w:rPr>
      <w:rFonts w:ascii="Times New Roman" w:eastAsia="Times New Roman" w:hAnsi="Times New Roman" w:cs="Times New Roman"/>
      <w:lang w:val="en-GB" w:eastAsia="en-GB"/>
    </w:rPr>
  </w:style>
  <w:style w:type="character" w:styleId="PageNumber">
    <w:name w:val="page number"/>
    <w:basedOn w:val="DefaultParagraphFont"/>
    <w:rsid w:val="006732AE"/>
  </w:style>
  <w:style w:type="paragraph" w:styleId="Header">
    <w:name w:val="header"/>
    <w:basedOn w:val="Normal"/>
    <w:link w:val="HeaderChar"/>
    <w:rsid w:val="006732AE"/>
    <w:pPr>
      <w:tabs>
        <w:tab w:val="center" w:pos="4320"/>
        <w:tab w:val="right" w:pos="8640"/>
      </w:tabs>
    </w:pPr>
  </w:style>
  <w:style w:type="character" w:customStyle="1" w:styleId="HeaderChar">
    <w:name w:val="Header Char"/>
    <w:basedOn w:val="DefaultParagraphFont"/>
    <w:link w:val="Header"/>
    <w:rsid w:val="006732AE"/>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Microsoft_Equation1.bin"/><Relationship Id="rId20" Type="http://schemas.openxmlformats.org/officeDocument/2006/relationships/image" Target="media/image7.emf"/><Relationship Id="rId21" Type="http://schemas.openxmlformats.org/officeDocument/2006/relationships/oleObject" Target="embeddings/Microsoft_Equation7.bin"/><Relationship Id="rId22" Type="http://schemas.openxmlformats.org/officeDocument/2006/relationships/image" Target="media/image8.emf"/><Relationship Id="rId23" Type="http://schemas.openxmlformats.org/officeDocument/2006/relationships/oleObject" Target="embeddings/Microsoft_Equation8.bin"/><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oleObject" Target="embeddings/Microsoft_Equation2.bin"/><Relationship Id="rId12" Type="http://schemas.openxmlformats.org/officeDocument/2006/relationships/image" Target="media/image3.emf"/><Relationship Id="rId13" Type="http://schemas.openxmlformats.org/officeDocument/2006/relationships/oleObject" Target="embeddings/Microsoft_Equation3.bin"/><Relationship Id="rId14" Type="http://schemas.openxmlformats.org/officeDocument/2006/relationships/image" Target="media/image4.emf"/><Relationship Id="rId15" Type="http://schemas.openxmlformats.org/officeDocument/2006/relationships/oleObject" Target="embeddings/Microsoft_Equation4.bin"/><Relationship Id="rId16" Type="http://schemas.openxmlformats.org/officeDocument/2006/relationships/image" Target="media/image5.emf"/><Relationship Id="rId17" Type="http://schemas.openxmlformats.org/officeDocument/2006/relationships/oleObject" Target="embeddings/Microsoft_Equation5.bin"/><Relationship Id="rId18" Type="http://schemas.openxmlformats.org/officeDocument/2006/relationships/image" Target="media/image6.emf"/><Relationship Id="rId19" Type="http://schemas.openxmlformats.org/officeDocument/2006/relationships/oleObject" Target="embeddings/Microsoft_Equation6.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3</Pages>
  <Words>652</Words>
  <Characters>3719</Characters>
  <Application>Microsoft Macintosh Word</Application>
  <DocSecurity>0</DocSecurity>
  <Lines>30</Lines>
  <Paragraphs>8</Paragraphs>
  <ScaleCrop>false</ScaleCrop>
  <Company>HIGP/SOEST</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annotation Fagents</dc:creator>
  <cp:keywords/>
  <cp:lastModifiedBy>Sarah Fagents</cp:lastModifiedBy>
  <cp:revision>11</cp:revision>
  <dcterms:created xsi:type="dcterms:W3CDTF">2012-10-13T03:17:00Z</dcterms:created>
  <dcterms:modified xsi:type="dcterms:W3CDTF">2012-10-19T00:01:00Z</dcterms:modified>
</cp:coreProperties>
</file>