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3E1B7" w14:textId="298A42DD" w:rsidR="00864467" w:rsidRDefault="00CF7CBF">
      <w:pPr>
        <w:spacing w:before="79"/>
        <w:ind w:left="1258" w:right="1198"/>
        <w:jc w:val="center"/>
        <w:rPr>
          <w:b/>
        </w:rPr>
      </w:pPr>
      <w:r>
        <w:rPr>
          <w:b/>
        </w:rPr>
        <w:t>Chapter 14</w:t>
      </w:r>
      <w:r>
        <w:rPr>
          <w:b/>
        </w:rPr>
        <w:t xml:space="preserve"> Health inequalities and public health practice – answers</w:t>
      </w:r>
    </w:p>
    <w:p w14:paraId="71B6E80B" w14:textId="77777777" w:rsidR="00864467" w:rsidRDefault="00864467">
      <w:pPr>
        <w:pStyle w:val="BodyText"/>
        <w:spacing w:before="3"/>
        <w:rPr>
          <w:b/>
          <w:sz w:val="23"/>
        </w:rPr>
      </w:pPr>
    </w:p>
    <w:p w14:paraId="10F0E18A" w14:textId="77777777" w:rsidR="00864467" w:rsidRDefault="00CF7CBF">
      <w:pPr>
        <w:pStyle w:val="BodyText"/>
        <w:ind w:left="120"/>
      </w:pPr>
      <w:bookmarkStart w:id="0" w:name="Self_assessment"/>
      <w:bookmarkEnd w:id="0"/>
      <w:proofErr w:type="spellStart"/>
      <w:r>
        <w:rPr>
          <w:u w:val="single"/>
        </w:rPr>
        <w:t>Self assessment</w:t>
      </w:r>
      <w:proofErr w:type="spellEnd"/>
    </w:p>
    <w:p w14:paraId="04092236" w14:textId="77777777" w:rsidR="00864467" w:rsidRDefault="00864467">
      <w:pPr>
        <w:pStyle w:val="BodyText"/>
        <w:spacing w:before="10"/>
        <w:rPr>
          <w:sz w:val="13"/>
        </w:rPr>
      </w:pPr>
    </w:p>
    <w:p w14:paraId="6D721222" w14:textId="77777777" w:rsidR="00864467" w:rsidRDefault="00CF7CBF">
      <w:pPr>
        <w:pStyle w:val="BodyText"/>
        <w:spacing w:before="93"/>
        <w:ind w:left="120"/>
      </w:pPr>
      <w:r>
        <w:t>Question 1 of 4</w:t>
      </w:r>
    </w:p>
    <w:p w14:paraId="4C2E9C1C" w14:textId="77777777" w:rsidR="00864467" w:rsidRDefault="00864467">
      <w:pPr>
        <w:pStyle w:val="BodyText"/>
      </w:pPr>
    </w:p>
    <w:p w14:paraId="3327BE75" w14:textId="6DF04498" w:rsidR="00864467" w:rsidRDefault="00CF7CBF">
      <w:pPr>
        <w:pStyle w:val="BodyText"/>
        <w:ind w:left="120"/>
      </w:pPr>
      <w:r>
        <w:t xml:space="preserve">Answer D – health inequalities are </w:t>
      </w:r>
      <w:r w:rsidR="009A6EF9">
        <w:t>always</w:t>
      </w:r>
      <w:r>
        <w:t xml:space="preserve"> associated with poverty. This statement is false, because some adverse health conditions, such as breast cancer, occur in more affluent populations</w:t>
      </w:r>
      <w:r w:rsidR="009A6EF9">
        <w:t>. The remaining statements are elements of the definition of health inequalities used in this chapter</w:t>
      </w:r>
    </w:p>
    <w:p w14:paraId="16C251A4" w14:textId="77777777" w:rsidR="00864467" w:rsidRDefault="00864467">
      <w:pPr>
        <w:pStyle w:val="BodyText"/>
        <w:spacing w:before="11"/>
        <w:rPr>
          <w:sz w:val="21"/>
        </w:rPr>
      </w:pPr>
    </w:p>
    <w:p w14:paraId="37C2D0D4" w14:textId="77777777" w:rsidR="00864467" w:rsidRDefault="00CF7CBF">
      <w:pPr>
        <w:pStyle w:val="BodyText"/>
        <w:ind w:left="120"/>
      </w:pPr>
      <w:r>
        <w:t>Quest</w:t>
      </w:r>
      <w:r>
        <w:t>ion 2 of 4</w:t>
      </w:r>
    </w:p>
    <w:p w14:paraId="47D21D19" w14:textId="77777777" w:rsidR="00864467" w:rsidRDefault="00864467">
      <w:pPr>
        <w:pStyle w:val="BodyText"/>
      </w:pPr>
    </w:p>
    <w:p w14:paraId="62B317E1" w14:textId="6D05E087" w:rsidR="00864467" w:rsidRDefault="00CF7CBF">
      <w:pPr>
        <w:pStyle w:val="BodyText"/>
        <w:ind w:left="120" w:right="228"/>
      </w:pPr>
      <w:r>
        <w:t xml:space="preserve">Answer B – </w:t>
      </w:r>
      <w:r w:rsidR="00C1439B">
        <w:t xml:space="preserve">a fourfold difference </w:t>
      </w:r>
      <w:r w:rsidR="009A6EF9">
        <w:t xml:space="preserve">in women’s mortality </w:t>
      </w:r>
      <w:r w:rsidR="00C1439B">
        <w:t xml:space="preserve">and differences in infant </w:t>
      </w:r>
      <w:r w:rsidR="00F516C1">
        <w:t>mortality</w:t>
      </w:r>
      <w:r w:rsidR="00C1439B">
        <w:t xml:space="preserve"> by </w:t>
      </w:r>
      <w:r w:rsidR="00F516C1">
        <w:t>ethnicity</w:t>
      </w:r>
      <w:r w:rsidR="009A6EF9">
        <w:t xml:space="preserve"> are also seen</w:t>
      </w:r>
    </w:p>
    <w:p w14:paraId="0BA7FDBD" w14:textId="77777777" w:rsidR="00864467" w:rsidRDefault="00864467">
      <w:pPr>
        <w:pStyle w:val="BodyText"/>
      </w:pPr>
    </w:p>
    <w:p w14:paraId="46BDFDD2" w14:textId="77777777" w:rsidR="00864467" w:rsidRDefault="00CF7CBF">
      <w:pPr>
        <w:pStyle w:val="BodyText"/>
        <w:ind w:left="120"/>
      </w:pPr>
      <w:r>
        <w:t>Question 3 of 4</w:t>
      </w:r>
    </w:p>
    <w:p w14:paraId="01BF4A0B" w14:textId="77777777" w:rsidR="00864467" w:rsidRDefault="00864467">
      <w:pPr>
        <w:pStyle w:val="BodyText"/>
      </w:pPr>
    </w:p>
    <w:p w14:paraId="228838ED" w14:textId="77777777" w:rsidR="00864467" w:rsidRDefault="00CF7CBF">
      <w:pPr>
        <w:pStyle w:val="BodyText"/>
        <w:ind w:left="120" w:right="449"/>
      </w:pPr>
      <w:r>
        <w:t>Answer B – 30-fold. Mortality in children under five per 1,000 live births was 64 for Tajikistan and 2 for Sa</w:t>
      </w:r>
      <w:r>
        <w:t>n Marino in 2008</w:t>
      </w:r>
    </w:p>
    <w:p w14:paraId="5EFCA707" w14:textId="77777777" w:rsidR="00864467" w:rsidRDefault="00864467">
      <w:pPr>
        <w:pStyle w:val="BodyText"/>
        <w:spacing w:before="11"/>
        <w:rPr>
          <w:sz w:val="21"/>
        </w:rPr>
      </w:pPr>
    </w:p>
    <w:p w14:paraId="1DA09A9A" w14:textId="77777777" w:rsidR="00864467" w:rsidRDefault="00CF7CBF">
      <w:pPr>
        <w:pStyle w:val="BodyText"/>
        <w:ind w:left="120"/>
      </w:pPr>
      <w:r>
        <w:t>Question 4 of 4</w:t>
      </w:r>
    </w:p>
    <w:p w14:paraId="3557BE5E" w14:textId="77777777" w:rsidR="00864467" w:rsidRDefault="00864467">
      <w:pPr>
        <w:pStyle w:val="BodyText"/>
      </w:pPr>
    </w:p>
    <w:p w14:paraId="5D552B74" w14:textId="7473BAB1" w:rsidR="00864467" w:rsidRDefault="00CF7CBF" w:rsidP="00943F2F">
      <w:pPr>
        <w:pStyle w:val="BodyText"/>
        <w:spacing w:before="1"/>
        <w:ind w:left="120" w:right="375"/>
      </w:pPr>
      <w:r>
        <w:t xml:space="preserve">Answer </w:t>
      </w:r>
      <w:r w:rsidR="00DA122E">
        <w:t xml:space="preserve">E – </w:t>
      </w:r>
      <w:proofErr w:type="gramStart"/>
      <w:r w:rsidR="00DA122E">
        <w:t>all of</w:t>
      </w:r>
      <w:proofErr w:type="gramEnd"/>
      <w:r w:rsidR="00DA122E">
        <w:t xml:space="preserve"> the above. Possible explanations for health inequalities include artefacts</w:t>
      </w:r>
      <w:r w:rsidR="00943F2F">
        <w:t>, selection, cultural/behavioral and economic/materialist according to the Black report of 2010</w:t>
      </w:r>
    </w:p>
    <w:p w14:paraId="7AC2C7B7" w14:textId="77777777" w:rsidR="00943F2F" w:rsidRPr="00943F2F" w:rsidRDefault="00943F2F" w:rsidP="00943F2F">
      <w:pPr>
        <w:pStyle w:val="BodyText"/>
        <w:spacing w:before="1"/>
        <w:ind w:left="120" w:right="375"/>
      </w:pPr>
    </w:p>
    <w:p w14:paraId="2770E819" w14:textId="77777777" w:rsidR="00864467" w:rsidRDefault="00CF7CBF">
      <w:pPr>
        <w:pStyle w:val="BodyText"/>
        <w:spacing w:before="1"/>
        <w:ind w:left="120"/>
      </w:pPr>
      <w:bookmarkStart w:id="1" w:name="Short_answer_questions"/>
      <w:bookmarkEnd w:id="1"/>
      <w:r>
        <w:rPr>
          <w:u w:val="single"/>
        </w:rPr>
        <w:t>Short answer questions</w:t>
      </w:r>
    </w:p>
    <w:p w14:paraId="3184C13A" w14:textId="77777777" w:rsidR="00864467" w:rsidRDefault="00864467">
      <w:pPr>
        <w:pStyle w:val="BodyText"/>
        <w:rPr>
          <w:sz w:val="14"/>
        </w:rPr>
      </w:pPr>
    </w:p>
    <w:p w14:paraId="4CF5A61C" w14:textId="77777777" w:rsidR="00864467" w:rsidRDefault="00CF7CBF">
      <w:pPr>
        <w:pStyle w:val="BodyText"/>
        <w:spacing w:before="92"/>
        <w:ind w:left="120"/>
      </w:pPr>
      <w:r>
        <w:t>Question 1 of 4</w:t>
      </w:r>
    </w:p>
    <w:p w14:paraId="06F26A6D" w14:textId="77777777" w:rsidR="00864467" w:rsidRDefault="00864467">
      <w:pPr>
        <w:pStyle w:val="BodyText"/>
        <w:rPr>
          <w:sz w:val="20"/>
        </w:rPr>
      </w:pPr>
    </w:p>
    <w:p w14:paraId="1CE97A71" w14:textId="5605B641" w:rsidR="00864467" w:rsidRDefault="00B877CF">
      <w:pPr>
        <w:pStyle w:val="BodyText"/>
        <w:spacing w:before="9"/>
        <w:rPr>
          <w:sz w:val="26"/>
        </w:rPr>
      </w:pPr>
      <w:r>
        <w:rPr>
          <w:noProof/>
        </w:rPr>
        <w:t>Inclusion health is a term used to refer to the needs of any group of people who are socially excluded and may experience health inequalities as a result.</w:t>
      </w:r>
    </w:p>
    <w:p w14:paraId="7C7F0EDF" w14:textId="4250CA0E" w:rsidR="00443A66" w:rsidRPr="00443A66" w:rsidRDefault="007E6F50" w:rsidP="00443A66">
      <w:pPr>
        <w:rPr>
          <w:noProof/>
        </w:rPr>
      </w:pPr>
      <w:r w:rsidRPr="00443A66">
        <w:rPr>
          <w:noProof/>
        </w:rPr>
        <w:t xml:space="preserve">In the UK this typically includes </w:t>
      </w:r>
      <w:r w:rsidR="00443A66" w:rsidRPr="00443A66">
        <w:rPr>
          <w:noProof/>
        </w:rPr>
        <w:t>People experiencing homelessness, eople in the criminal justice system, sex workers, Gypsy, Roma and Traveller communities, migrants and refugees, people who use substances, victims of modern slavery</w:t>
      </w:r>
    </w:p>
    <w:p w14:paraId="440B0649" w14:textId="18FED852" w:rsidR="00864467" w:rsidRDefault="00864467">
      <w:pPr>
        <w:rPr>
          <w:sz w:val="26"/>
        </w:rPr>
        <w:sectPr w:rsidR="00864467">
          <w:type w:val="continuous"/>
          <w:pgSz w:w="12240" w:h="15840"/>
          <w:pgMar w:top="1360" w:right="1380" w:bottom="280" w:left="1320" w:header="720" w:footer="720" w:gutter="0"/>
          <w:cols w:space="720"/>
        </w:sectPr>
      </w:pPr>
    </w:p>
    <w:p w14:paraId="75FCF210" w14:textId="77777777" w:rsidR="00864467" w:rsidRDefault="00CF7CBF">
      <w:pPr>
        <w:pStyle w:val="BodyText"/>
        <w:spacing w:before="77"/>
        <w:ind w:left="120"/>
        <w:jc w:val="both"/>
      </w:pPr>
      <w:r>
        <w:lastRenderedPageBreak/>
        <w:t>Question 2 of 4</w:t>
      </w:r>
    </w:p>
    <w:p w14:paraId="03DF3DF6" w14:textId="77777777" w:rsidR="00864467" w:rsidRDefault="00864467">
      <w:pPr>
        <w:pStyle w:val="BodyText"/>
        <w:spacing w:before="1"/>
      </w:pPr>
    </w:p>
    <w:p w14:paraId="2658BA72" w14:textId="320090EE" w:rsidR="00864467" w:rsidRDefault="00CF7CBF">
      <w:pPr>
        <w:pStyle w:val="BodyText"/>
        <w:ind w:left="120"/>
        <w:jc w:val="both"/>
      </w:pPr>
      <w:r>
        <w:t>There are a range of ways in which governments can reduce health inequalities</w:t>
      </w:r>
      <w:r w:rsidR="00224796">
        <w:t>. You might have thought of:</w:t>
      </w:r>
    </w:p>
    <w:p w14:paraId="34F5641B" w14:textId="77777777" w:rsidR="00864467" w:rsidRDefault="00CF7CBF">
      <w:pPr>
        <w:pStyle w:val="ListParagraph"/>
        <w:numPr>
          <w:ilvl w:val="0"/>
          <w:numId w:val="1"/>
        </w:numPr>
        <w:tabs>
          <w:tab w:val="left" w:pos="841"/>
        </w:tabs>
        <w:ind w:right="505" w:hanging="360"/>
        <w:jc w:val="both"/>
      </w:pPr>
      <w:r>
        <w:t>Universal, high quality welfare services that promote sustainable, social cohesion by limiting income inequality and differentials in social status (taxation, welfare benefits, parental leave and pension entitlements, and the s</w:t>
      </w:r>
      <w:r>
        <w:t>etting of decent</w:t>
      </w:r>
      <w:r>
        <w:rPr>
          <w:spacing w:val="-8"/>
        </w:rPr>
        <w:t xml:space="preserve"> </w:t>
      </w:r>
      <w:r>
        <w:t>wages)</w:t>
      </w:r>
    </w:p>
    <w:p w14:paraId="450E3E98" w14:textId="77777777" w:rsidR="00864467" w:rsidRDefault="00CF7CBF">
      <w:pPr>
        <w:pStyle w:val="ListParagraph"/>
        <w:numPr>
          <w:ilvl w:val="0"/>
          <w:numId w:val="1"/>
        </w:numPr>
        <w:tabs>
          <w:tab w:val="left" w:pos="839"/>
          <w:tab w:val="left" w:pos="841"/>
        </w:tabs>
        <w:spacing w:line="237" w:lineRule="auto"/>
        <w:ind w:hanging="360"/>
      </w:pPr>
      <w:r>
        <w:t xml:space="preserve">Laws that improve the quality of work and the environment, </w:t>
      </w:r>
      <w:proofErr w:type="gramStart"/>
      <w:r>
        <w:t>e.g.</w:t>
      </w:r>
      <w:proofErr w:type="gramEnd"/>
      <w:r>
        <w:t xml:space="preserve"> the European</w:t>
      </w:r>
      <w:r>
        <w:rPr>
          <w:spacing w:val="-14"/>
        </w:rPr>
        <w:t xml:space="preserve"> </w:t>
      </w:r>
      <w:r>
        <w:t>Working Time</w:t>
      </w:r>
      <w:r>
        <w:rPr>
          <w:spacing w:val="-1"/>
        </w:rPr>
        <w:t xml:space="preserve"> </w:t>
      </w:r>
      <w:r>
        <w:t>Directive</w:t>
      </w:r>
    </w:p>
    <w:p w14:paraId="4E841E71" w14:textId="77777777" w:rsidR="00864467" w:rsidRDefault="00CF7CBF">
      <w:pPr>
        <w:pStyle w:val="ListParagraph"/>
        <w:numPr>
          <w:ilvl w:val="0"/>
          <w:numId w:val="1"/>
        </w:numPr>
        <w:tabs>
          <w:tab w:val="left" w:pos="839"/>
          <w:tab w:val="left" w:pos="841"/>
        </w:tabs>
        <w:spacing w:before="4" w:line="237" w:lineRule="auto"/>
        <w:ind w:hanging="360"/>
      </w:pPr>
      <w:r>
        <w:t>Setting standards for urban planning and housing, particularly social housing, and</w:t>
      </w:r>
      <w:r>
        <w:rPr>
          <w:spacing w:val="-22"/>
        </w:rPr>
        <w:t xml:space="preserve"> </w:t>
      </w:r>
      <w:r>
        <w:t>anti- discrimination</w:t>
      </w:r>
      <w:r>
        <w:rPr>
          <w:spacing w:val="-1"/>
        </w:rPr>
        <w:t xml:space="preserve"> </w:t>
      </w:r>
      <w:r>
        <w:t>laws</w:t>
      </w:r>
    </w:p>
    <w:p w14:paraId="3D90AAFE" w14:textId="77777777" w:rsidR="00864467" w:rsidRDefault="00CF7CBF">
      <w:pPr>
        <w:pStyle w:val="ListParagraph"/>
        <w:numPr>
          <w:ilvl w:val="0"/>
          <w:numId w:val="1"/>
        </w:numPr>
        <w:tabs>
          <w:tab w:val="left" w:pos="839"/>
          <w:tab w:val="left" w:pos="841"/>
        </w:tabs>
        <w:spacing w:before="1"/>
        <w:ind w:right="209" w:hanging="360"/>
      </w:pPr>
      <w:r>
        <w:t xml:space="preserve">Local </w:t>
      </w:r>
      <w:r>
        <w:t>governments ensuring safe play areas and traffic calming measures in residential areas; well designed, affordable housing; built environments that reduce the fear of crime and encourage leisure, walking and cycling; and the provision of efficient and affor</w:t>
      </w:r>
      <w:r>
        <w:t>dable public transport and leisure</w:t>
      </w:r>
      <w:r>
        <w:rPr>
          <w:spacing w:val="-1"/>
        </w:rPr>
        <w:t xml:space="preserve"> </w:t>
      </w:r>
      <w:r>
        <w:t>opportunities</w:t>
      </w:r>
    </w:p>
    <w:p w14:paraId="71FCB939" w14:textId="77777777" w:rsidR="00864467" w:rsidRDefault="00CF7CBF">
      <w:pPr>
        <w:pStyle w:val="ListParagraph"/>
        <w:numPr>
          <w:ilvl w:val="0"/>
          <w:numId w:val="1"/>
        </w:numPr>
        <w:tabs>
          <w:tab w:val="left" w:pos="839"/>
          <w:tab w:val="left" w:pos="841"/>
        </w:tabs>
        <w:spacing w:before="1" w:line="237" w:lineRule="auto"/>
        <w:ind w:right="748" w:hanging="360"/>
      </w:pPr>
      <w:r>
        <w:t xml:space="preserve">Policies and legislation encouraging sustainable economic development are also important if health inequalities are to be reduced: reducing unemployment and job insecurity and ensuring access to high </w:t>
      </w:r>
      <w:r>
        <w:t>quality skills</w:t>
      </w:r>
      <w:r>
        <w:rPr>
          <w:spacing w:val="-5"/>
        </w:rPr>
        <w:t xml:space="preserve"> </w:t>
      </w:r>
      <w:r>
        <w:t>training</w:t>
      </w:r>
    </w:p>
    <w:p w14:paraId="5E97EB56" w14:textId="77777777" w:rsidR="00224796" w:rsidRDefault="00CF7CBF" w:rsidP="00224796">
      <w:pPr>
        <w:pStyle w:val="ListParagraph"/>
        <w:numPr>
          <w:ilvl w:val="0"/>
          <w:numId w:val="1"/>
        </w:numPr>
        <w:tabs>
          <w:tab w:val="left" w:pos="839"/>
          <w:tab w:val="left" w:pos="841"/>
        </w:tabs>
        <w:spacing w:before="6" w:line="237" w:lineRule="auto"/>
        <w:ind w:left="840" w:right="283"/>
      </w:pPr>
      <w:r>
        <w:t>Governments can also encourage local employers to provide high quality jobs with appropriate job control, management practices and balance between effort and</w:t>
      </w:r>
      <w:r>
        <w:rPr>
          <w:spacing w:val="-18"/>
        </w:rPr>
        <w:t xml:space="preserve"> </w:t>
      </w:r>
      <w:r>
        <w:t>rewar</w:t>
      </w:r>
      <w:r w:rsidR="00224796">
        <w:t>d</w:t>
      </w:r>
    </w:p>
    <w:p w14:paraId="3D0E7B96" w14:textId="72501A0C" w:rsidR="00864467" w:rsidRDefault="00224796" w:rsidP="00224796">
      <w:pPr>
        <w:pStyle w:val="ListParagraph"/>
        <w:numPr>
          <w:ilvl w:val="0"/>
          <w:numId w:val="1"/>
        </w:numPr>
        <w:tabs>
          <w:tab w:val="left" w:pos="839"/>
          <w:tab w:val="left" w:pos="841"/>
        </w:tabs>
        <w:spacing w:before="6" w:line="237" w:lineRule="auto"/>
        <w:ind w:left="840" w:right="283"/>
      </w:pPr>
      <w:r>
        <w:t xml:space="preserve">Promoting equitable access to </w:t>
      </w:r>
      <w:proofErr w:type="gramStart"/>
      <w:r>
        <w:t>child care</w:t>
      </w:r>
      <w:proofErr w:type="gramEnd"/>
      <w:r>
        <w:t>, pre- school education, schools, facilities for life-long learning, preventative, screening and primary care services, community-based mental health, hospital services and a range of high quality and affordable services to promote the independence of older people.</w:t>
      </w:r>
    </w:p>
    <w:p w14:paraId="6FA7F385" w14:textId="77777777" w:rsidR="00864467" w:rsidRDefault="00864467">
      <w:pPr>
        <w:pStyle w:val="BodyText"/>
      </w:pPr>
    </w:p>
    <w:p w14:paraId="193620D7" w14:textId="77777777" w:rsidR="00864467" w:rsidRDefault="00CF7CBF">
      <w:pPr>
        <w:pStyle w:val="BodyText"/>
        <w:ind w:left="120"/>
      </w:pPr>
      <w:r>
        <w:t>Question 3 of 4</w:t>
      </w:r>
    </w:p>
    <w:p w14:paraId="4C96A4C2" w14:textId="77777777" w:rsidR="00864467" w:rsidRDefault="00864467">
      <w:pPr>
        <w:pStyle w:val="BodyText"/>
        <w:spacing w:before="11"/>
        <w:rPr>
          <w:sz w:val="21"/>
        </w:rPr>
      </w:pPr>
    </w:p>
    <w:p w14:paraId="4A3B7959" w14:textId="77777777" w:rsidR="00864467" w:rsidRDefault="00CF7CBF">
      <w:pPr>
        <w:pStyle w:val="BodyText"/>
        <w:ind w:left="120" w:right="118"/>
      </w:pPr>
      <w:r>
        <w:t xml:space="preserve">Wherever we are in the social hierarchy, apart from the top and bottom, our health will be better than those below and worse than those above us. This means that inequalities in health affect </w:t>
      </w:r>
      <w:proofErr w:type="gramStart"/>
      <w:r>
        <w:t>all of</w:t>
      </w:r>
      <w:proofErr w:type="gramEnd"/>
      <w:r>
        <w:t xml:space="preserve"> the population, not just the poor.</w:t>
      </w:r>
    </w:p>
    <w:p w14:paraId="66AB211F" w14:textId="77777777" w:rsidR="00864467" w:rsidRDefault="00864467">
      <w:pPr>
        <w:pStyle w:val="BodyText"/>
        <w:spacing w:before="11"/>
        <w:rPr>
          <w:sz w:val="21"/>
        </w:rPr>
      </w:pPr>
    </w:p>
    <w:p w14:paraId="4E22A1A4" w14:textId="77777777" w:rsidR="00864467" w:rsidRDefault="00CF7CBF">
      <w:pPr>
        <w:pStyle w:val="BodyText"/>
        <w:ind w:left="120"/>
      </w:pPr>
      <w:r>
        <w:t>Question 4 of 4</w:t>
      </w:r>
    </w:p>
    <w:p w14:paraId="219FE254" w14:textId="77777777" w:rsidR="00864467" w:rsidRDefault="00864467">
      <w:pPr>
        <w:pStyle w:val="BodyText"/>
      </w:pPr>
    </w:p>
    <w:p w14:paraId="0DBA6A83" w14:textId="266AEB44" w:rsidR="00864467" w:rsidRDefault="00043DD0">
      <w:pPr>
        <w:pStyle w:val="BodyText"/>
        <w:ind w:left="119" w:right="179"/>
      </w:pPr>
      <w:r>
        <w:t>Meso-level approaches take place at the health care or community system level. They might include, for example:</w:t>
      </w:r>
    </w:p>
    <w:p w14:paraId="40912C5E" w14:textId="77777777" w:rsidR="00043DD0" w:rsidRPr="00043DD0" w:rsidRDefault="00043DD0" w:rsidP="00043DD0">
      <w:pPr>
        <w:pStyle w:val="NoSpacing"/>
        <w:numPr>
          <w:ilvl w:val="0"/>
          <w:numId w:val="2"/>
        </w:numPr>
        <w:rPr>
          <w:rFonts w:ascii="Arial" w:eastAsia="Arial" w:hAnsi="Arial" w:cs="Arial"/>
          <w:lang w:bidi="en-US"/>
        </w:rPr>
      </w:pPr>
      <w:r w:rsidRPr="00043DD0">
        <w:rPr>
          <w:rFonts w:ascii="Arial" w:eastAsia="Arial" w:hAnsi="Arial" w:cs="Arial"/>
          <w:lang w:bidi="en-US"/>
        </w:rPr>
        <w:t>Include health inequalities reduction explicitly in organisational aims and contracts</w:t>
      </w:r>
    </w:p>
    <w:p w14:paraId="1C5FD656" w14:textId="77777777" w:rsidR="00043DD0" w:rsidRPr="00043DD0" w:rsidRDefault="00043DD0" w:rsidP="00043DD0">
      <w:pPr>
        <w:pStyle w:val="NoSpacing"/>
        <w:numPr>
          <w:ilvl w:val="0"/>
          <w:numId w:val="2"/>
        </w:numPr>
        <w:rPr>
          <w:rFonts w:ascii="Arial" w:eastAsia="Arial" w:hAnsi="Arial" w:cs="Arial"/>
          <w:lang w:bidi="en-US"/>
        </w:rPr>
      </w:pPr>
      <w:r w:rsidRPr="00043DD0">
        <w:rPr>
          <w:rFonts w:ascii="Arial" w:eastAsia="Arial" w:hAnsi="Arial" w:cs="Arial"/>
          <w:lang w:bidi="en-US"/>
        </w:rPr>
        <w:t xml:space="preserve">Ensure systems are developed to collect, </w:t>
      </w:r>
      <w:proofErr w:type="spellStart"/>
      <w:proofErr w:type="gramStart"/>
      <w:r w:rsidRPr="00043DD0">
        <w:rPr>
          <w:rFonts w:ascii="Arial" w:eastAsia="Arial" w:hAnsi="Arial" w:cs="Arial"/>
          <w:lang w:bidi="en-US"/>
        </w:rPr>
        <w:t>analyse</w:t>
      </w:r>
      <w:proofErr w:type="spellEnd"/>
      <w:proofErr w:type="gramEnd"/>
      <w:r w:rsidRPr="00043DD0">
        <w:rPr>
          <w:rFonts w:ascii="Arial" w:eastAsia="Arial" w:hAnsi="Arial" w:cs="Arial"/>
          <w:lang w:bidi="en-US"/>
        </w:rPr>
        <w:t xml:space="preserve"> and act on pertinent data</w:t>
      </w:r>
    </w:p>
    <w:p w14:paraId="23AE5FF6" w14:textId="77777777" w:rsidR="00043DD0" w:rsidRPr="00043DD0" w:rsidRDefault="00043DD0" w:rsidP="00043DD0">
      <w:pPr>
        <w:pStyle w:val="NoSpacing"/>
        <w:numPr>
          <w:ilvl w:val="0"/>
          <w:numId w:val="2"/>
        </w:numPr>
        <w:rPr>
          <w:rFonts w:ascii="Arial" w:eastAsia="Arial" w:hAnsi="Arial" w:cs="Arial"/>
          <w:lang w:bidi="en-US"/>
        </w:rPr>
      </w:pPr>
      <w:r w:rsidRPr="00043DD0">
        <w:rPr>
          <w:rFonts w:ascii="Arial" w:eastAsia="Arial" w:hAnsi="Arial" w:cs="Arial"/>
          <w:lang w:bidi="en-US"/>
        </w:rPr>
        <w:t>Mindfully allocate resources and workforce - adopt proportionate universal approaches</w:t>
      </w:r>
    </w:p>
    <w:p w14:paraId="73A4151D" w14:textId="77777777" w:rsidR="00043DD0" w:rsidRPr="00043DD0" w:rsidRDefault="00043DD0" w:rsidP="00043DD0">
      <w:pPr>
        <w:pStyle w:val="NoSpacing"/>
        <w:numPr>
          <w:ilvl w:val="0"/>
          <w:numId w:val="2"/>
        </w:numPr>
        <w:rPr>
          <w:rFonts w:ascii="Arial" w:eastAsia="Arial" w:hAnsi="Arial" w:cs="Arial"/>
          <w:lang w:bidi="en-US"/>
        </w:rPr>
      </w:pPr>
      <w:proofErr w:type="spellStart"/>
      <w:r w:rsidRPr="00043DD0">
        <w:rPr>
          <w:rFonts w:ascii="Arial" w:eastAsia="Arial" w:hAnsi="Arial" w:cs="Arial"/>
          <w:lang w:bidi="en-US"/>
        </w:rPr>
        <w:t>Prioritise</w:t>
      </w:r>
      <w:proofErr w:type="spellEnd"/>
      <w:r w:rsidRPr="00043DD0">
        <w:rPr>
          <w:rFonts w:ascii="Arial" w:eastAsia="Arial" w:hAnsi="Arial" w:cs="Arial"/>
          <w:lang w:bidi="en-US"/>
        </w:rPr>
        <w:t xml:space="preserve"> prevention</w:t>
      </w:r>
    </w:p>
    <w:p w14:paraId="78CAF4F0" w14:textId="77777777" w:rsidR="00043DD0" w:rsidRPr="00043DD0" w:rsidRDefault="00043DD0" w:rsidP="00043DD0">
      <w:pPr>
        <w:pStyle w:val="NoSpacing"/>
        <w:numPr>
          <w:ilvl w:val="0"/>
          <w:numId w:val="2"/>
        </w:numPr>
        <w:rPr>
          <w:rFonts w:ascii="Arial" w:eastAsia="Arial" w:hAnsi="Arial" w:cs="Arial"/>
          <w:lang w:bidi="en-US"/>
        </w:rPr>
      </w:pPr>
      <w:r w:rsidRPr="00043DD0">
        <w:rPr>
          <w:rFonts w:ascii="Arial" w:eastAsia="Arial" w:hAnsi="Arial" w:cs="Arial"/>
          <w:lang w:bidi="en-US"/>
        </w:rPr>
        <w:t xml:space="preserve">Explore and develop opportunities to act as an anchor institution within the community </w:t>
      </w:r>
    </w:p>
    <w:p w14:paraId="1D23A1B0" w14:textId="6D76DFFC" w:rsidR="00043DD0" w:rsidRPr="00043DD0" w:rsidRDefault="00043DD0" w:rsidP="00043DD0">
      <w:pPr>
        <w:pStyle w:val="NoSpacing"/>
        <w:numPr>
          <w:ilvl w:val="0"/>
          <w:numId w:val="2"/>
        </w:numPr>
        <w:rPr>
          <w:rFonts w:ascii="Arial" w:eastAsia="Arial" w:hAnsi="Arial" w:cs="Arial"/>
          <w:lang w:bidi="en-US"/>
        </w:rPr>
      </w:pPr>
      <w:r w:rsidRPr="00043DD0">
        <w:rPr>
          <w:rFonts w:ascii="Arial" w:eastAsia="Arial" w:hAnsi="Arial" w:cs="Arial"/>
          <w:lang w:bidi="en-US"/>
        </w:rPr>
        <w:t>Partner with and support the work of other agencies in acting on social determinants</w:t>
      </w:r>
    </w:p>
    <w:p w14:paraId="7AFE9235" w14:textId="77777777" w:rsidR="00043DD0" w:rsidRPr="00043DD0" w:rsidRDefault="00043DD0" w:rsidP="00043DD0">
      <w:pPr>
        <w:pStyle w:val="NoSpacing"/>
        <w:numPr>
          <w:ilvl w:val="0"/>
          <w:numId w:val="2"/>
        </w:numPr>
        <w:rPr>
          <w:rFonts w:ascii="Arial" w:eastAsia="Arial" w:hAnsi="Arial" w:cs="Arial"/>
          <w:lang w:bidi="en-US"/>
        </w:rPr>
      </w:pPr>
      <w:r w:rsidRPr="00043DD0">
        <w:rPr>
          <w:rFonts w:ascii="Arial" w:eastAsia="Arial" w:hAnsi="Arial" w:cs="Arial"/>
          <w:lang w:bidi="en-US"/>
        </w:rPr>
        <w:t>Adopt community-centric, assets-</w:t>
      </w:r>
      <w:proofErr w:type="gramStart"/>
      <w:r w:rsidRPr="00043DD0">
        <w:rPr>
          <w:rFonts w:ascii="Arial" w:eastAsia="Arial" w:hAnsi="Arial" w:cs="Arial"/>
          <w:lang w:bidi="en-US"/>
        </w:rPr>
        <w:t>based</w:t>
      </w:r>
      <w:proofErr w:type="gramEnd"/>
      <w:r w:rsidRPr="00043DD0">
        <w:rPr>
          <w:rFonts w:ascii="Arial" w:eastAsia="Arial" w:hAnsi="Arial" w:cs="Arial"/>
          <w:lang w:bidi="en-US"/>
        </w:rPr>
        <w:t xml:space="preserve"> and whole systems approaches to development of public health and health services</w:t>
      </w:r>
    </w:p>
    <w:p w14:paraId="4B797629" w14:textId="77777777" w:rsidR="00043DD0" w:rsidRDefault="00043DD0">
      <w:pPr>
        <w:pStyle w:val="BodyText"/>
        <w:ind w:left="119" w:right="179"/>
      </w:pPr>
    </w:p>
    <w:sectPr w:rsidR="00043DD0">
      <w:pgSz w:w="12240" w:h="15840"/>
      <w:pgMar w:top="1360" w:right="138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36B46"/>
    <w:multiLevelType w:val="hybridMultilevel"/>
    <w:tmpl w:val="4D04E106"/>
    <w:lvl w:ilvl="0" w:tplc="47028D48">
      <w:numFmt w:val="bullet"/>
      <w:lvlText w:val=""/>
      <w:lvlJc w:val="left"/>
      <w:pPr>
        <w:ind w:left="839" w:hanging="361"/>
      </w:pPr>
      <w:rPr>
        <w:rFonts w:ascii="Symbol" w:eastAsia="Symbol" w:hAnsi="Symbol" w:cs="Symbol" w:hint="default"/>
        <w:w w:val="99"/>
        <w:sz w:val="22"/>
        <w:szCs w:val="22"/>
        <w:lang w:val="en-US" w:eastAsia="en-US" w:bidi="en-US"/>
      </w:rPr>
    </w:lvl>
    <w:lvl w:ilvl="1" w:tplc="6F7A1356">
      <w:numFmt w:val="bullet"/>
      <w:lvlText w:val="•"/>
      <w:lvlJc w:val="left"/>
      <w:pPr>
        <w:ind w:left="1710" w:hanging="361"/>
      </w:pPr>
      <w:rPr>
        <w:rFonts w:hint="default"/>
        <w:lang w:val="en-US" w:eastAsia="en-US" w:bidi="en-US"/>
      </w:rPr>
    </w:lvl>
    <w:lvl w:ilvl="2" w:tplc="1B027B4A">
      <w:numFmt w:val="bullet"/>
      <w:lvlText w:val="•"/>
      <w:lvlJc w:val="left"/>
      <w:pPr>
        <w:ind w:left="2580" w:hanging="361"/>
      </w:pPr>
      <w:rPr>
        <w:rFonts w:hint="default"/>
        <w:lang w:val="en-US" w:eastAsia="en-US" w:bidi="en-US"/>
      </w:rPr>
    </w:lvl>
    <w:lvl w:ilvl="3" w:tplc="5A946C62">
      <w:numFmt w:val="bullet"/>
      <w:lvlText w:val="•"/>
      <w:lvlJc w:val="left"/>
      <w:pPr>
        <w:ind w:left="3450" w:hanging="361"/>
      </w:pPr>
      <w:rPr>
        <w:rFonts w:hint="default"/>
        <w:lang w:val="en-US" w:eastAsia="en-US" w:bidi="en-US"/>
      </w:rPr>
    </w:lvl>
    <w:lvl w:ilvl="4" w:tplc="437C4332">
      <w:numFmt w:val="bullet"/>
      <w:lvlText w:val="•"/>
      <w:lvlJc w:val="left"/>
      <w:pPr>
        <w:ind w:left="4320" w:hanging="361"/>
      </w:pPr>
      <w:rPr>
        <w:rFonts w:hint="default"/>
        <w:lang w:val="en-US" w:eastAsia="en-US" w:bidi="en-US"/>
      </w:rPr>
    </w:lvl>
    <w:lvl w:ilvl="5" w:tplc="34BECA52">
      <w:numFmt w:val="bullet"/>
      <w:lvlText w:val="•"/>
      <w:lvlJc w:val="left"/>
      <w:pPr>
        <w:ind w:left="5190" w:hanging="361"/>
      </w:pPr>
      <w:rPr>
        <w:rFonts w:hint="default"/>
        <w:lang w:val="en-US" w:eastAsia="en-US" w:bidi="en-US"/>
      </w:rPr>
    </w:lvl>
    <w:lvl w:ilvl="6" w:tplc="634E40C2">
      <w:numFmt w:val="bullet"/>
      <w:lvlText w:val="•"/>
      <w:lvlJc w:val="left"/>
      <w:pPr>
        <w:ind w:left="6060" w:hanging="361"/>
      </w:pPr>
      <w:rPr>
        <w:rFonts w:hint="default"/>
        <w:lang w:val="en-US" w:eastAsia="en-US" w:bidi="en-US"/>
      </w:rPr>
    </w:lvl>
    <w:lvl w:ilvl="7" w:tplc="B9C2EB20">
      <w:numFmt w:val="bullet"/>
      <w:lvlText w:val="•"/>
      <w:lvlJc w:val="left"/>
      <w:pPr>
        <w:ind w:left="6930" w:hanging="361"/>
      </w:pPr>
      <w:rPr>
        <w:rFonts w:hint="default"/>
        <w:lang w:val="en-US" w:eastAsia="en-US" w:bidi="en-US"/>
      </w:rPr>
    </w:lvl>
    <w:lvl w:ilvl="8" w:tplc="B7A4917E">
      <w:numFmt w:val="bullet"/>
      <w:lvlText w:val="•"/>
      <w:lvlJc w:val="left"/>
      <w:pPr>
        <w:ind w:left="7800" w:hanging="361"/>
      </w:pPr>
      <w:rPr>
        <w:rFonts w:hint="default"/>
        <w:lang w:val="en-US" w:eastAsia="en-US" w:bidi="en-US"/>
      </w:rPr>
    </w:lvl>
  </w:abstractNum>
  <w:abstractNum w:abstractNumId="1" w15:restartNumberingAfterBreak="0">
    <w:nsid w:val="7052429B"/>
    <w:multiLevelType w:val="hybridMultilevel"/>
    <w:tmpl w:val="E988C62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4467"/>
    <w:rsid w:val="00043DD0"/>
    <w:rsid w:val="00224796"/>
    <w:rsid w:val="00443A66"/>
    <w:rsid w:val="007E6F50"/>
    <w:rsid w:val="00864467"/>
    <w:rsid w:val="00943F2F"/>
    <w:rsid w:val="009A6EF9"/>
    <w:rsid w:val="00B877CF"/>
    <w:rsid w:val="00C1439B"/>
    <w:rsid w:val="00CF7CBF"/>
    <w:rsid w:val="00DA122E"/>
    <w:rsid w:val="00F516C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24542A"/>
  <w15:docId w15:val="{93C01BCD-8D28-4B5B-A3F6-773B259D0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839" w:right="273" w:hanging="360"/>
    </w:pPr>
  </w:style>
  <w:style w:type="paragraph" w:customStyle="1" w:styleId="TableParagraph">
    <w:name w:val="Table Paragraph"/>
    <w:basedOn w:val="Normal"/>
    <w:uiPriority w:val="1"/>
    <w:qFormat/>
  </w:style>
  <w:style w:type="character" w:customStyle="1" w:styleId="NoSpacingChar">
    <w:name w:val="No Spacing Char"/>
    <w:basedOn w:val="DefaultParagraphFont"/>
    <w:link w:val="NoSpacing"/>
    <w:uiPriority w:val="1"/>
    <w:locked/>
    <w:rsid w:val="007E6F50"/>
  </w:style>
  <w:style w:type="paragraph" w:styleId="NoSpacing">
    <w:name w:val="No Spacing"/>
    <w:link w:val="NoSpacingChar"/>
    <w:uiPriority w:val="1"/>
    <w:qFormat/>
    <w:rsid w:val="007E6F50"/>
    <w:pPr>
      <w:widowControl/>
      <w:autoSpaceDE/>
      <w:autoSpaceDN/>
    </w:pPr>
  </w:style>
  <w:style w:type="table" w:styleId="TableGrid">
    <w:name w:val="Table Grid"/>
    <w:basedOn w:val="TableNormal"/>
    <w:uiPriority w:val="39"/>
    <w:rsid w:val="007E6F50"/>
    <w:pPr>
      <w:widowControl/>
      <w:suppressAutoHyphens/>
      <w:autoSpaceDE/>
      <w:autoSpaceDN/>
    </w:pPr>
    <w:rPr>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703981">
      <w:bodyDiv w:val="1"/>
      <w:marLeft w:val="0"/>
      <w:marRight w:val="0"/>
      <w:marTop w:val="0"/>
      <w:marBottom w:val="0"/>
      <w:divBdr>
        <w:top w:val="none" w:sz="0" w:space="0" w:color="auto"/>
        <w:left w:val="none" w:sz="0" w:space="0" w:color="auto"/>
        <w:bottom w:val="none" w:sz="0" w:space="0" w:color="auto"/>
        <w:right w:val="none" w:sz="0" w:space="0" w:color="auto"/>
      </w:divBdr>
    </w:div>
    <w:div w:id="16204510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573</Words>
  <Characters>3271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Chapter 15</vt:lpstr>
    </vt:vector>
  </TitlesOfParts>
  <Company/>
  <LinksUpToDate>false</LinksUpToDate>
  <CharactersWithSpaces>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15</dc:title>
  <dc:creator>Dave Edwards</dc:creator>
  <cp:lastModifiedBy>Editors</cp:lastModifiedBy>
  <cp:revision>2</cp:revision>
  <dcterms:created xsi:type="dcterms:W3CDTF">2023-11-17T11:52:00Z</dcterms:created>
  <dcterms:modified xsi:type="dcterms:W3CDTF">2023-11-17T11:52:00Z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2012-07-09T00:00:00Z</vt:filetime>
  </property>
  <property fmtid="{D5CDD505-2E9C-101B-9397-08002B2CF9AE}" pid="3" name="Creator">
    <vt:lpwstr>Acrobat PDFMaker 10.1 for Word</vt:lpwstr>
  </property>
  <property fmtid="{D5CDD505-2E9C-101B-9397-08002B2CF9AE}" pid="4" name="LastSaved">
    <vt:filetime>2022-07-08T00:00:00Z</vt:filetime>
  </property>
</Properties>
</file>