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0D5E0A" w14:textId="77777777" w:rsidR="00877B9C" w:rsidRDefault="00C913E4">
      <w:pPr>
        <w:spacing w:before="79"/>
        <w:ind w:left="2076" w:right="2034"/>
        <w:jc w:val="center"/>
        <w:rPr>
          <w:b/>
        </w:rPr>
      </w:pPr>
      <w:r>
        <w:rPr>
          <w:b/>
        </w:rPr>
        <w:t>Chapter 8 Improving population health – answers</w:t>
      </w:r>
    </w:p>
    <w:p w14:paraId="13DD90C9" w14:textId="77777777" w:rsidR="00877B9C" w:rsidRDefault="00877B9C">
      <w:pPr>
        <w:pStyle w:val="BodyText"/>
        <w:spacing w:before="6"/>
        <w:ind w:left="0"/>
        <w:rPr>
          <w:b/>
          <w:sz w:val="20"/>
        </w:rPr>
      </w:pPr>
    </w:p>
    <w:p w14:paraId="360818C1" w14:textId="77777777" w:rsidR="00877B9C" w:rsidRDefault="00C913E4">
      <w:pPr>
        <w:pStyle w:val="BodyText"/>
      </w:pPr>
      <w:proofErr w:type="spellStart"/>
      <w:r>
        <w:rPr>
          <w:u w:val="single"/>
        </w:rPr>
        <w:t>Self assessment</w:t>
      </w:r>
      <w:proofErr w:type="spellEnd"/>
    </w:p>
    <w:p w14:paraId="6FAA849E" w14:textId="77777777" w:rsidR="00877B9C" w:rsidRDefault="00877B9C">
      <w:pPr>
        <w:pStyle w:val="BodyText"/>
        <w:spacing w:before="7"/>
        <w:ind w:left="0"/>
        <w:rPr>
          <w:sz w:val="12"/>
        </w:rPr>
      </w:pPr>
    </w:p>
    <w:p w14:paraId="7BAE9FCD" w14:textId="77777777" w:rsidR="00877B9C" w:rsidRDefault="00C913E4">
      <w:pPr>
        <w:pStyle w:val="BodyText"/>
        <w:spacing w:before="93"/>
      </w:pPr>
      <w:r>
        <w:t>Question 1 of 5</w:t>
      </w:r>
    </w:p>
    <w:p w14:paraId="753565CB" w14:textId="77777777" w:rsidR="00877B9C" w:rsidRDefault="00877B9C">
      <w:pPr>
        <w:pStyle w:val="BodyText"/>
        <w:spacing w:before="8"/>
        <w:ind w:left="0"/>
        <w:rPr>
          <w:sz w:val="20"/>
        </w:rPr>
      </w:pPr>
    </w:p>
    <w:p w14:paraId="1C8F135C" w14:textId="77777777" w:rsidR="00877B9C" w:rsidRDefault="00C913E4">
      <w:pPr>
        <w:pStyle w:val="BodyText"/>
        <w:spacing w:line="276" w:lineRule="auto"/>
        <w:ind w:right="876"/>
      </w:pPr>
      <w:r>
        <w:t xml:space="preserve">Answer E – smoking cessation support after heart attack. This is rehabilitation after a disease </w:t>
      </w:r>
      <w:proofErr w:type="gramStart"/>
      <w:r>
        <w:t>event,</w:t>
      </w:r>
      <w:proofErr w:type="gramEnd"/>
      <w:r>
        <w:t xml:space="preserve"> hence this is tertiary prevention.</w:t>
      </w:r>
    </w:p>
    <w:p w14:paraId="37E67894" w14:textId="77777777" w:rsidR="00877B9C" w:rsidRDefault="00C913E4">
      <w:pPr>
        <w:pStyle w:val="BodyText"/>
        <w:spacing w:before="200" w:line="276" w:lineRule="auto"/>
        <w:ind w:right="265"/>
      </w:pPr>
      <w:r>
        <w:t>Health education of school children on lifestyle, genetic counselling before marriage and measles immunisation are exa</w:t>
      </w:r>
      <w:r>
        <w:t>mples of primary prevention. Cervical cancer screening is an example of secondary prevention</w:t>
      </w:r>
    </w:p>
    <w:p w14:paraId="1FAC9C89" w14:textId="77777777" w:rsidR="00877B9C" w:rsidRDefault="00C913E4">
      <w:pPr>
        <w:pStyle w:val="BodyText"/>
        <w:spacing w:before="200"/>
      </w:pPr>
      <w:r>
        <w:t>Question 2 of 5</w:t>
      </w:r>
    </w:p>
    <w:p w14:paraId="3BFDF449" w14:textId="77777777" w:rsidR="00877B9C" w:rsidRDefault="00877B9C">
      <w:pPr>
        <w:pStyle w:val="BodyText"/>
        <w:spacing w:before="8"/>
        <w:ind w:left="0"/>
        <w:rPr>
          <w:sz w:val="20"/>
        </w:rPr>
      </w:pPr>
    </w:p>
    <w:p w14:paraId="1891570F" w14:textId="1693F94B" w:rsidR="00877B9C" w:rsidRDefault="00C913E4">
      <w:pPr>
        <w:pStyle w:val="BodyText"/>
        <w:spacing w:line="276" w:lineRule="auto"/>
        <w:ind w:right="570"/>
      </w:pPr>
      <w:r>
        <w:t xml:space="preserve">Answer B. </w:t>
      </w:r>
      <w:r w:rsidR="00C64CEA">
        <w:t>The differences in health status due to inequalities are where the biggest gains in health are available (</w:t>
      </w:r>
      <w:r w:rsidR="00C64CEA">
        <w:rPr>
          <w:b/>
          <w:color w:val="000000"/>
        </w:rPr>
        <w:t>Rose, G.</w:t>
      </w:r>
      <w:r w:rsidR="00C64CEA">
        <w:rPr>
          <w:color w:val="000000"/>
        </w:rPr>
        <w:t xml:space="preserve"> </w:t>
      </w:r>
      <w:r w:rsidR="00C64CEA">
        <w:rPr>
          <w:i/>
          <w:color w:val="000000"/>
        </w:rPr>
        <w:t xml:space="preserve">The Strategy of Preventive Medicine. </w:t>
      </w:r>
      <w:proofErr w:type="gramStart"/>
      <w:r w:rsidR="00C64CEA">
        <w:rPr>
          <w:color w:val="000000"/>
        </w:rPr>
        <w:t>Oxford :</w:t>
      </w:r>
      <w:proofErr w:type="gramEnd"/>
      <w:r w:rsidR="00C64CEA">
        <w:rPr>
          <w:color w:val="000000"/>
        </w:rPr>
        <w:t xml:space="preserve"> Oxford University Press, 1992). Cancer drugs, lowering cholesterol levels, improving post-operative mortality </w:t>
      </w:r>
      <w:proofErr w:type="gramStart"/>
      <w:r w:rsidR="00C64CEA">
        <w:rPr>
          <w:color w:val="000000"/>
        </w:rPr>
        <w:t>rates</w:t>
      </w:r>
      <w:proofErr w:type="gramEnd"/>
      <w:r w:rsidR="00C64CEA">
        <w:rPr>
          <w:color w:val="000000"/>
        </w:rPr>
        <w:t xml:space="preserve"> and increasing activity levels all improve health outcomes, but reducing inequalities would have a bigger overall impact.</w:t>
      </w:r>
    </w:p>
    <w:p w14:paraId="1AC59951" w14:textId="77777777" w:rsidR="00877B9C" w:rsidRDefault="00C913E4">
      <w:pPr>
        <w:pStyle w:val="BodyText"/>
        <w:spacing w:before="200"/>
      </w:pPr>
      <w:r>
        <w:t>Question 3 of 5</w:t>
      </w:r>
    </w:p>
    <w:p w14:paraId="29977B1D" w14:textId="77777777" w:rsidR="00877B9C" w:rsidRDefault="00877B9C">
      <w:pPr>
        <w:pStyle w:val="BodyText"/>
        <w:spacing w:before="8"/>
        <w:ind w:left="0"/>
        <w:rPr>
          <w:sz w:val="20"/>
        </w:rPr>
      </w:pPr>
    </w:p>
    <w:p w14:paraId="335AD456" w14:textId="77777777" w:rsidR="00877B9C" w:rsidRDefault="00C913E4">
      <w:pPr>
        <w:pStyle w:val="BodyText"/>
      </w:pPr>
      <w:r>
        <w:t>Answer C – smoking. Smoking is a direct cause of many diseases, including cancer.</w:t>
      </w:r>
    </w:p>
    <w:p w14:paraId="3E90C80D" w14:textId="77777777" w:rsidR="00877B9C" w:rsidRDefault="00877B9C">
      <w:pPr>
        <w:pStyle w:val="BodyText"/>
        <w:spacing w:before="8"/>
        <w:ind w:left="0"/>
        <w:rPr>
          <w:sz w:val="20"/>
        </w:rPr>
      </w:pPr>
    </w:p>
    <w:p w14:paraId="53576846" w14:textId="77777777" w:rsidR="00877B9C" w:rsidRDefault="00C913E4">
      <w:pPr>
        <w:pStyle w:val="BodyText"/>
        <w:spacing w:line="465" w:lineRule="auto"/>
        <w:ind w:right="447"/>
      </w:pPr>
      <w:proofErr w:type="gramStart"/>
      <w:r>
        <w:t>All of</w:t>
      </w:r>
      <w:proofErr w:type="gramEnd"/>
      <w:r>
        <w:t xml:space="preserve"> the other options listed are physiological variables and not direct causes of disease. Question 4 of 5</w:t>
      </w:r>
    </w:p>
    <w:p w14:paraId="78E18BDD" w14:textId="2F021EE5" w:rsidR="00877B9C" w:rsidRDefault="00C913E4" w:rsidP="00A665AA">
      <w:pPr>
        <w:pStyle w:val="BodyText"/>
        <w:spacing w:line="276" w:lineRule="auto"/>
        <w:ind w:right="594"/>
      </w:pPr>
      <w:r>
        <w:t xml:space="preserve">Answer C – </w:t>
      </w:r>
      <w:r w:rsidR="00212CFF">
        <w:t>a governmental strategy to reduce inequalities includes a political element and can be described as an issue of social justice. This gives it a societal focus. Treating disease falls into a bio-medical model and changing behaviours with messages or reminders focusses on individuals.</w:t>
      </w:r>
    </w:p>
    <w:p w14:paraId="7FBFA128" w14:textId="77777777" w:rsidR="00877B9C" w:rsidRDefault="00C913E4">
      <w:pPr>
        <w:pStyle w:val="BodyText"/>
        <w:spacing w:before="200"/>
      </w:pPr>
      <w:r>
        <w:t>Question 5 of 5</w:t>
      </w:r>
    </w:p>
    <w:p w14:paraId="75966FBE" w14:textId="77777777" w:rsidR="00877B9C" w:rsidRDefault="00877B9C">
      <w:pPr>
        <w:pStyle w:val="BodyText"/>
        <w:spacing w:before="8"/>
        <w:ind w:left="0"/>
        <w:rPr>
          <w:sz w:val="20"/>
        </w:rPr>
      </w:pPr>
    </w:p>
    <w:p w14:paraId="2749C1BD" w14:textId="77777777" w:rsidR="00877B9C" w:rsidRDefault="00C913E4">
      <w:pPr>
        <w:pStyle w:val="BodyText"/>
        <w:spacing w:line="276" w:lineRule="auto"/>
        <w:ind w:right="667"/>
      </w:pPr>
      <w:r>
        <w:t>Answer C – fluoridation of water to prevent dental caries. This is a population approach which derives maximum benefit and achieves universal change.</w:t>
      </w:r>
    </w:p>
    <w:p w14:paraId="539A30EC" w14:textId="77777777" w:rsidR="00877B9C" w:rsidRDefault="00C913E4">
      <w:pPr>
        <w:pStyle w:val="BodyText"/>
        <w:spacing w:before="200" w:line="276" w:lineRule="auto"/>
        <w:ind w:right="299"/>
        <w:jc w:val="both"/>
      </w:pPr>
      <w:r>
        <w:t xml:space="preserve">Chlamydia screening adopts a high-risk approach, targeting young women at risk. As TB </w:t>
      </w:r>
      <w:r>
        <w:t>is very rare in the UK, a high-risk approach is also more appropriate here. Smoking cessation clinics need to be targeted at smokers who would benefit from the intervention.</w:t>
      </w:r>
    </w:p>
    <w:p w14:paraId="5D53AF97" w14:textId="77777777" w:rsidR="00877B9C" w:rsidRDefault="00C913E4">
      <w:pPr>
        <w:pStyle w:val="BodyText"/>
        <w:spacing w:before="200"/>
      </w:pPr>
      <w:r>
        <w:rPr>
          <w:u w:val="single"/>
        </w:rPr>
        <w:t>Short answer questions</w:t>
      </w:r>
    </w:p>
    <w:p w14:paraId="6E84163C" w14:textId="77777777" w:rsidR="00877B9C" w:rsidRDefault="00877B9C">
      <w:pPr>
        <w:pStyle w:val="BodyText"/>
        <w:spacing w:before="8"/>
        <w:ind w:left="0"/>
        <w:rPr>
          <w:sz w:val="12"/>
        </w:rPr>
      </w:pPr>
    </w:p>
    <w:p w14:paraId="5C55E897" w14:textId="1A9067A3" w:rsidR="00877B9C" w:rsidRDefault="00C913E4">
      <w:pPr>
        <w:pStyle w:val="BodyText"/>
        <w:spacing w:before="92"/>
      </w:pPr>
      <w:r>
        <w:t xml:space="preserve">Question 1 of </w:t>
      </w:r>
      <w:r w:rsidR="00E2314E">
        <w:t>3</w:t>
      </w:r>
    </w:p>
    <w:p w14:paraId="66C8DF2A" w14:textId="77777777" w:rsidR="00877B9C" w:rsidRDefault="00877B9C">
      <w:pPr>
        <w:pStyle w:val="BodyText"/>
        <w:spacing w:before="8"/>
        <w:ind w:left="0"/>
        <w:rPr>
          <w:sz w:val="20"/>
        </w:rPr>
      </w:pPr>
    </w:p>
    <w:p w14:paraId="739FD076" w14:textId="223DECFD" w:rsidR="00877B9C" w:rsidRDefault="00027832">
      <w:pPr>
        <w:spacing w:line="276" w:lineRule="auto"/>
      </w:pPr>
      <w:r>
        <w:t>Your answer should include a discussion of health improvement action relevant to each of the forces in the model.</w:t>
      </w:r>
      <w:r w:rsidR="00FD3436">
        <w:t xml:space="preserve"> The forces interact and a sophisticated answer will draw on this model within an identified ethical framework to draw evidence based and nuanced conclusions. Use the prompt questions in Table 8.1.</w:t>
      </w:r>
    </w:p>
    <w:p w14:paraId="66F22615" w14:textId="77777777" w:rsidR="00FD3436" w:rsidRDefault="00FD3436">
      <w:pPr>
        <w:spacing w:line="276" w:lineRule="auto"/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3085"/>
        <w:gridCol w:w="5954"/>
      </w:tblGrid>
      <w:tr w:rsidR="00E95B84" w:rsidRPr="00200758" w14:paraId="57C20B10" w14:textId="77777777" w:rsidTr="00E95B84">
        <w:tc>
          <w:tcPr>
            <w:tcW w:w="3085" w:type="dxa"/>
          </w:tcPr>
          <w:p w14:paraId="550D22F8" w14:textId="77777777" w:rsidR="00E95B84" w:rsidRPr="00543797" w:rsidRDefault="00E95B84" w:rsidP="003D3393">
            <w:pPr>
              <w:rPr>
                <w:rFonts w:ascii="Calibri" w:eastAsia="Calibri" w:hAnsi="Calibri" w:cs="Calibri"/>
                <w:b/>
                <w:bCs/>
                <w:color w:val="43423E"/>
              </w:rPr>
            </w:pPr>
            <w:proofErr w:type="spellStart"/>
            <w:r w:rsidRPr="00543797">
              <w:rPr>
                <w:rFonts w:ascii="Calibri" w:eastAsia="Calibri" w:hAnsi="Calibri" w:cs="Calibri"/>
                <w:b/>
                <w:bCs/>
                <w:color w:val="43423E"/>
              </w:rPr>
              <w:t>Pencheon</w:t>
            </w:r>
            <w:proofErr w:type="spellEnd"/>
            <w:r w:rsidRPr="00543797">
              <w:rPr>
                <w:rFonts w:ascii="Calibri" w:eastAsia="Calibri" w:hAnsi="Calibri" w:cs="Calibri"/>
                <w:b/>
                <w:bCs/>
                <w:color w:val="43423E"/>
              </w:rPr>
              <w:t xml:space="preserve"> &amp; Bradley model force</w:t>
            </w:r>
          </w:p>
        </w:tc>
        <w:tc>
          <w:tcPr>
            <w:tcW w:w="5954" w:type="dxa"/>
          </w:tcPr>
          <w:p w14:paraId="44143F02" w14:textId="0C3B7BD1" w:rsidR="00E95B84" w:rsidRPr="00200758" w:rsidRDefault="00E95B84" w:rsidP="003D3393">
            <w:pPr>
              <w:rPr>
                <w:rFonts w:ascii="Calibri" w:eastAsia="Calibri" w:hAnsi="Calibri" w:cs="Calibri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</w:rPr>
              <w:t>Examples for discussion</w:t>
            </w:r>
          </w:p>
        </w:tc>
      </w:tr>
      <w:tr w:rsidR="00027832" w14:paraId="6EC84874" w14:textId="77777777" w:rsidTr="00E95B84">
        <w:tc>
          <w:tcPr>
            <w:tcW w:w="3085" w:type="dxa"/>
          </w:tcPr>
          <w:p w14:paraId="4A2F4EC3" w14:textId="77777777" w:rsidR="00027832" w:rsidRDefault="00027832" w:rsidP="003D3393">
            <w:pPr>
              <w:rPr>
                <w:rFonts w:ascii="Calibri" w:eastAsia="Calibri" w:hAnsi="Calibri" w:cs="Calibri"/>
                <w:color w:val="43423E"/>
              </w:rPr>
            </w:pPr>
            <w:r>
              <w:rPr>
                <w:rFonts w:ascii="Calibri" w:eastAsia="Calibri" w:hAnsi="Calibri" w:cs="Calibri"/>
                <w:color w:val="43423E"/>
              </w:rPr>
              <w:t>Dynamic societal and technological innovation and societal disruption</w:t>
            </w:r>
          </w:p>
        </w:tc>
        <w:tc>
          <w:tcPr>
            <w:tcW w:w="5954" w:type="dxa"/>
          </w:tcPr>
          <w:p w14:paraId="14E9F77E" w14:textId="27E8FA9A" w:rsidR="00027832" w:rsidRDefault="00E95B84" w:rsidP="003D3393">
            <w:pP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43423E"/>
              </w:rPr>
              <w:t>Advertising campaigns</w:t>
            </w:r>
            <w:r w:rsidR="00FD3436">
              <w:rPr>
                <w:rFonts w:ascii="Calibri" w:eastAsia="Calibri" w:hAnsi="Calibri" w:cs="Calibri"/>
                <w:color w:val="43423E"/>
              </w:rPr>
              <w:t xml:space="preserve"> including social media and influencers</w:t>
            </w:r>
            <w:r>
              <w:rPr>
                <w:rFonts w:ascii="Calibri" w:eastAsia="Calibri" w:hAnsi="Calibri" w:cs="Calibri"/>
                <w:color w:val="43423E"/>
              </w:rPr>
              <w:t>, messaging reminders</w:t>
            </w:r>
            <w:r w:rsidR="00FD3436">
              <w:rPr>
                <w:rFonts w:ascii="Calibri" w:eastAsia="Calibri" w:hAnsi="Calibri" w:cs="Calibri"/>
                <w:color w:val="43423E"/>
              </w:rPr>
              <w:t xml:space="preserve"> via technological solutions</w:t>
            </w:r>
            <w:r>
              <w:rPr>
                <w:rFonts w:ascii="Calibri" w:eastAsia="Calibri" w:hAnsi="Calibri" w:cs="Calibri"/>
                <w:color w:val="43423E"/>
              </w:rPr>
              <w:t xml:space="preserve">, impact of climate change, relevance during </w:t>
            </w:r>
            <w:r>
              <w:rPr>
                <w:rFonts w:ascii="Calibri" w:eastAsia="Calibri" w:hAnsi="Calibri" w:cs="Calibri"/>
                <w:color w:val="43423E"/>
              </w:rPr>
              <w:lastRenderedPageBreak/>
              <w:t>conflict</w:t>
            </w:r>
            <w:r w:rsidR="00E2314E">
              <w:rPr>
                <w:rFonts w:ascii="Calibri" w:eastAsia="Calibri" w:hAnsi="Calibri" w:cs="Calibri"/>
                <w:color w:val="43423E"/>
              </w:rPr>
              <w:t xml:space="preserve"> and relationship with malnutrition</w:t>
            </w:r>
          </w:p>
        </w:tc>
      </w:tr>
      <w:tr w:rsidR="00E95B84" w14:paraId="7D5CE85A" w14:textId="77777777" w:rsidTr="009B0B8E">
        <w:tc>
          <w:tcPr>
            <w:tcW w:w="3085" w:type="dxa"/>
          </w:tcPr>
          <w:p w14:paraId="14908660" w14:textId="77777777" w:rsidR="00E95B84" w:rsidRDefault="00E95B84" w:rsidP="003D3393">
            <w:pPr>
              <w:rPr>
                <w:rFonts w:ascii="Calibri" w:eastAsia="Calibri" w:hAnsi="Calibri" w:cs="Calibri"/>
                <w:color w:val="43423E"/>
              </w:rPr>
            </w:pPr>
            <w:r>
              <w:rPr>
                <w:rFonts w:ascii="Calibri" w:eastAsia="Calibri" w:hAnsi="Calibri" w:cs="Calibri"/>
                <w:color w:val="43423E"/>
              </w:rPr>
              <w:lastRenderedPageBreak/>
              <w:t>Contested impacts of political and economic systems</w:t>
            </w:r>
          </w:p>
        </w:tc>
        <w:tc>
          <w:tcPr>
            <w:tcW w:w="5954" w:type="dxa"/>
          </w:tcPr>
          <w:p w14:paraId="4C8DF781" w14:textId="25248565" w:rsidR="00E95B84" w:rsidRDefault="00E95B84" w:rsidP="003D3393">
            <w:pP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Legislation around advertising and food</w:t>
            </w:r>
            <w:r w:rsidR="00FD3436">
              <w:rPr>
                <w:rFonts w:ascii="Calibri" w:eastAsia="Calibri" w:hAnsi="Calibri" w:cs="Calibri"/>
                <w:color w:val="000000"/>
              </w:rPr>
              <w:t xml:space="preserve">, </w:t>
            </w:r>
            <w:r>
              <w:rPr>
                <w:rFonts w:ascii="Calibri" w:eastAsia="Calibri" w:hAnsi="Calibri" w:cs="Calibri"/>
                <w:color w:val="000000"/>
              </w:rPr>
              <w:t xml:space="preserve">production/manufacture, </w:t>
            </w:r>
            <w:r w:rsidR="00FD3436">
              <w:rPr>
                <w:rFonts w:ascii="Calibri" w:eastAsia="Calibri" w:hAnsi="Calibri" w:cs="Calibri"/>
                <w:color w:val="000000"/>
              </w:rPr>
              <w:t xml:space="preserve">taxation, </w:t>
            </w:r>
            <w:r>
              <w:rPr>
                <w:rFonts w:ascii="Calibri" w:eastAsia="Calibri" w:hAnsi="Calibri" w:cs="Calibri"/>
                <w:color w:val="000000"/>
              </w:rPr>
              <w:t>political manifestos, advocacy and lobbying</w:t>
            </w:r>
            <w:r w:rsidR="00FD3436">
              <w:rPr>
                <w:rFonts w:ascii="Calibri" w:eastAsia="Calibri" w:hAnsi="Calibri" w:cs="Calibri"/>
                <w:color w:val="000000"/>
              </w:rPr>
              <w:t>, environmental impacts of farming and other food production modalities, urban design, healthcare funding and prevention/treatment availability, surveillance models</w:t>
            </w:r>
          </w:p>
        </w:tc>
      </w:tr>
      <w:tr w:rsidR="00FD3436" w14:paraId="546A41F4" w14:textId="77777777" w:rsidTr="00A93C91">
        <w:tc>
          <w:tcPr>
            <w:tcW w:w="3085" w:type="dxa"/>
          </w:tcPr>
          <w:p w14:paraId="704AB263" w14:textId="77777777" w:rsidR="00FD3436" w:rsidRPr="00B37E33" w:rsidRDefault="00FD3436" w:rsidP="003D3393">
            <w:pPr>
              <w:rPr>
                <w:rFonts w:ascii="Calibri" w:eastAsia="Calibri" w:hAnsi="Calibri" w:cs="Calibri"/>
                <w:color w:val="43423E"/>
              </w:rPr>
            </w:pPr>
            <w:r w:rsidRPr="00B37E33">
              <w:rPr>
                <w:rFonts w:ascii="Calibri" w:eastAsia="Calibri" w:hAnsi="Calibri" w:cs="Calibri"/>
                <w:color w:val="43423E"/>
              </w:rPr>
              <w:t>Diverse social and cultural fact</w:t>
            </w:r>
            <w:r>
              <w:rPr>
                <w:rFonts w:ascii="Calibri" w:eastAsia="Calibri" w:hAnsi="Calibri" w:cs="Calibri"/>
                <w:color w:val="43423E"/>
              </w:rPr>
              <w:t>ors</w:t>
            </w:r>
          </w:p>
        </w:tc>
        <w:tc>
          <w:tcPr>
            <w:tcW w:w="5954" w:type="dxa"/>
          </w:tcPr>
          <w:p w14:paraId="3390C88B" w14:textId="2C774467" w:rsidR="00FD3436" w:rsidRDefault="00FD3436" w:rsidP="00FD3436">
            <w:pPr>
              <w:pStyle w:val="FrameContents"/>
              <w:rPr>
                <w:rFonts w:ascii="Calibri" w:eastAsia="Calibri" w:hAnsi="Calibri" w:cs="Calibri"/>
                <w:color w:val="000000"/>
              </w:rPr>
            </w:pPr>
            <w:r>
              <w:t>Cultural and behavioural changes (diet, activity levels etc) including cultural, family and peer norms, p</w:t>
            </w:r>
            <w:r>
              <w:rPr>
                <w:rFonts w:ascii="Calibri" w:eastAsia="Calibri" w:hAnsi="Calibri" w:cs="Calibri"/>
                <w:color w:val="000000"/>
              </w:rPr>
              <w:t xml:space="preserve">ublic </w:t>
            </w:r>
            <w:r w:rsidRPr="006358D5">
              <w:rPr>
                <w:rFonts w:ascii="Calibri" w:eastAsia="Calibri" w:hAnsi="Calibri" w:cs="Calibri"/>
                <w:color w:val="000000"/>
              </w:rPr>
              <w:t>education and behaviour techniques</w:t>
            </w:r>
            <w:r w:rsidR="00E2314E">
              <w:rPr>
                <w:rFonts w:ascii="Calibri" w:eastAsia="Calibri" w:hAnsi="Calibri" w:cs="Calibri"/>
                <w:color w:val="000000"/>
              </w:rPr>
              <w:t xml:space="preserve">, economic </w:t>
            </w:r>
            <w:proofErr w:type="spellStart"/>
            <w:r w:rsidR="00E2314E">
              <w:rPr>
                <w:rFonts w:ascii="Calibri" w:eastAsia="Calibri" w:hAnsi="Calibri" w:cs="Calibri"/>
                <w:color w:val="000000"/>
              </w:rPr>
              <w:t>affects</w:t>
            </w:r>
            <w:proofErr w:type="spellEnd"/>
            <w:r w:rsidR="00E2314E">
              <w:rPr>
                <w:rFonts w:ascii="Calibri" w:eastAsia="Calibri" w:hAnsi="Calibri" w:cs="Calibri"/>
                <w:color w:val="000000"/>
              </w:rPr>
              <w:t xml:space="preserve"> on food and behaviour choices, charity influences</w:t>
            </w:r>
          </w:p>
        </w:tc>
      </w:tr>
      <w:tr w:rsidR="00FD3436" w14:paraId="4EBC908B" w14:textId="77777777" w:rsidTr="00172E60">
        <w:tc>
          <w:tcPr>
            <w:tcW w:w="3085" w:type="dxa"/>
          </w:tcPr>
          <w:p w14:paraId="0B711618" w14:textId="77777777" w:rsidR="00FD3436" w:rsidRPr="00B37E33" w:rsidRDefault="00FD3436" w:rsidP="003D3393">
            <w:pPr>
              <w:rPr>
                <w:rFonts w:ascii="Calibri" w:eastAsia="Calibri" w:hAnsi="Calibri" w:cs="Calibri"/>
                <w:color w:val="43423E"/>
              </w:rPr>
            </w:pPr>
            <w:r>
              <w:rPr>
                <w:rFonts w:ascii="Calibri" w:eastAsia="Calibri" w:hAnsi="Calibri" w:cs="Calibri"/>
                <w:color w:val="43423E"/>
              </w:rPr>
              <w:t>Basic needs and determinants</w:t>
            </w:r>
          </w:p>
        </w:tc>
        <w:tc>
          <w:tcPr>
            <w:tcW w:w="5954" w:type="dxa"/>
          </w:tcPr>
          <w:p w14:paraId="3F80E421" w14:textId="38C62D93" w:rsidR="00FD3436" w:rsidRDefault="00FD3436" w:rsidP="00E2314E">
            <w:pPr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43423E"/>
              </w:rPr>
              <w:t xml:space="preserve">Availability of cheap, </w:t>
            </w:r>
            <w:proofErr w:type="gramStart"/>
            <w:r>
              <w:rPr>
                <w:rFonts w:ascii="Calibri" w:eastAsia="Calibri" w:hAnsi="Calibri" w:cs="Calibri"/>
                <w:color w:val="43423E"/>
              </w:rPr>
              <w:t>high energy</w:t>
            </w:r>
            <w:proofErr w:type="gramEnd"/>
            <w:r>
              <w:rPr>
                <w:rFonts w:ascii="Calibri" w:eastAsia="Calibri" w:hAnsi="Calibri" w:cs="Calibri"/>
                <w:color w:val="43423E"/>
              </w:rPr>
              <w:t xml:space="preserve"> foodstuffs</w:t>
            </w:r>
            <w:r w:rsidR="00E2314E">
              <w:rPr>
                <w:rFonts w:ascii="Calibri" w:eastAsia="Calibri" w:hAnsi="Calibri" w:cs="Calibri"/>
                <w:color w:val="43423E"/>
              </w:rPr>
              <w:t>, affects of overweight and obesity on mental and physical wellbeing, the biology of weight management and availability of medical interventions or behavioural support.</w:t>
            </w:r>
          </w:p>
        </w:tc>
      </w:tr>
    </w:tbl>
    <w:p w14:paraId="45C6A620" w14:textId="77777777" w:rsidR="00877B9C" w:rsidRDefault="00877B9C">
      <w:pPr>
        <w:sectPr w:rsidR="00877B9C">
          <w:pgSz w:w="11910" w:h="16840"/>
          <w:pgMar w:top="1360" w:right="1320" w:bottom="280" w:left="1280" w:header="720" w:footer="720" w:gutter="0"/>
          <w:cols w:space="720"/>
        </w:sectPr>
      </w:pPr>
    </w:p>
    <w:p w14:paraId="70DFF45C" w14:textId="42FE5E90" w:rsidR="00877B9C" w:rsidRDefault="00C913E4" w:rsidP="00E2314E">
      <w:pPr>
        <w:pStyle w:val="BodyText"/>
        <w:spacing w:before="77"/>
        <w:ind w:left="0"/>
      </w:pPr>
      <w:r>
        <w:lastRenderedPageBreak/>
        <w:t xml:space="preserve">Question </w:t>
      </w:r>
      <w:r w:rsidR="00FD3436">
        <w:t>2</w:t>
      </w:r>
      <w:r>
        <w:t xml:space="preserve"> of </w:t>
      </w:r>
      <w:r w:rsidR="00E2314E">
        <w:t>3</w:t>
      </w:r>
    </w:p>
    <w:p w14:paraId="5AAE6C59" w14:textId="77777777" w:rsidR="00877B9C" w:rsidRDefault="00877B9C">
      <w:pPr>
        <w:pStyle w:val="BodyText"/>
        <w:spacing w:before="8"/>
        <w:ind w:left="0"/>
        <w:rPr>
          <w:sz w:val="20"/>
        </w:rPr>
      </w:pPr>
    </w:p>
    <w:p w14:paraId="707F8725" w14:textId="77777777" w:rsidR="00877B9C" w:rsidRDefault="00C913E4">
      <w:pPr>
        <w:pStyle w:val="BodyText"/>
        <w:spacing w:line="276" w:lineRule="auto"/>
        <w:ind w:right="131"/>
      </w:pPr>
      <w:r>
        <w:t xml:space="preserve">There are two general </w:t>
      </w:r>
      <w:r>
        <w:t>strategies for the primary prevention of cardiovascular disease (CVD); the ‘high-risk’ approach and the population approach. In the high-risk approach, individuals at high risk of disease are identified and targeted for preventive treatment, and in the pop</w:t>
      </w:r>
      <w:r>
        <w:t xml:space="preserve">ulation approach, the whole population is targeted for risk factor reduction. One of the disadvantages of the high-risk strategy is that most CVD cases occur not amongst the small number of individuals at greatest risk, but amongst the much larger numbers </w:t>
      </w:r>
      <w:r>
        <w:t>of individuals at lower levels of absolute</w:t>
      </w:r>
      <w:r>
        <w:rPr>
          <w:spacing w:val="-1"/>
        </w:rPr>
        <w:t xml:space="preserve"> </w:t>
      </w:r>
      <w:r>
        <w:t>risk.</w:t>
      </w:r>
    </w:p>
    <w:p w14:paraId="7548D205" w14:textId="77777777" w:rsidR="00E2314E" w:rsidRDefault="00E2314E">
      <w:pPr>
        <w:pStyle w:val="BodyText"/>
        <w:spacing w:line="276" w:lineRule="auto"/>
        <w:ind w:right="131"/>
      </w:pPr>
    </w:p>
    <w:p w14:paraId="00FCB0FB" w14:textId="554A68F3" w:rsidR="00E2314E" w:rsidRDefault="00E2314E">
      <w:pPr>
        <w:pStyle w:val="BodyText"/>
        <w:spacing w:line="276" w:lineRule="auto"/>
        <w:ind w:right="131"/>
      </w:pPr>
      <w:r>
        <w:t>Question 3 of 3</w:t>
      </w:r>
    </w:p>
    <w:p w14:paraId="54AD20E1" w14:textId="77777777" w:rsidR="00E2314E" w:rsidRDefault="00E2314E">
      <w:pPr>
        <w:pStyle w:val="BodyText"/>
        <w:spacing w:line="276" w:lineRule="auto"/>
        <w:ind w:right="131"/>
      </w:pP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2235"/>
        <w:gridCol w:w="2551"/>
        <w:gridCol w:w="4678"/>
      </w:tblGrid>
      <w:tr w:rsidR="00E2314E" w:rsidRPr="00766AF0" w14:paraId="6299F644" w14:textId="77777777" w:rsidTr="00E2314E">
        <w:tc>
          <w:tcPr>
            <w:tcW w:w="2235" w:type="dxa"/>
          </w:tcPr>
          <w:p w14:paraId="2B1B8C02" w14:textId="77777777" w:rsidR="00E2314E" w:rsidRPr="00766AF0" w:rsidRDefault="00E2314E" w:rsidP="003D3393">
            <w:pPr>
              <w:rPr>
                <w:rFonts w:ascii="Calibri" w:eastAsia="Calibri" w:hAnsi="Calibri" w:cs="Calibri"/>
                <w:b/>
                <w:bCs/>
                <w:color w:val="333333"/>
              </w:rPr>
            </w:pPr>
            <w:r w:rsidRPr="00766AF0">
              <w:rPr>
                <w:rFonts w:ascii="Calibri" w:eastAsia="Calibri" w:hAnsi="Calibri" w:cs="Calibri"/>
                <w:b/>
                <w:bCs/>
                <w:color w:val="333333"/>
              </w:rPr>
              <w:t>Action</w:t>
            </w:r>
          </w:p>
        </w:tc>
        <w:tc>
          <w:tcPr>
            <w:tcW w:w="2551" w:type="dxa"/>
          </w:tcPr>
          <w:p w14:paraId="5AD6E14C" w14:textId="77777777" w:rsidR="00E2314E" w:rsidRPr="00766AF0" w:rsidRDefault="00E2314E" w:rsidP="003D3393">
            <w:pPr>
              <w:rPr>
                <w:rFonts w:ascii="Calibri" w:eastAsia="Calibri" w:hAnsi="Calibri" w:cs="Calibri"/>
                <w:b/>
                <w:bCs/>
                <w:color w:val="333333"/>
              </w:rPr>
            </w:pPr>
            <w:r w:rsidRPr="00766AF0">
              <w:rPr>
                <w:rFonts w:ascii="Calibri" w:eastAsia="Calibri" w:hAnsi="Calibri" w:cs="Calibri"/>
                <w:b/>
                <w:bCs/>
                <w:color w:val="333333"/>
              </w:rPr>
              <w:t>Who might do this</w:t>
            </w:r>
          </w:p>
        </w:tc>
        <w:tc>
          <w:tcPr>
            <w:tcW w:w="4678" w:type="dxa"/>
          </w:tcPr>
          <w:p w14:paraId="008DFFC6" w14:textId="77777777" w:rsidR="00E2314E" w:rsidRPr="00766AF0" w:rsidRDefault="00E2314E" w:rsidP="003D3393">
            <w:pPr>
              <w:rPr>
                <w:rFonts w:ascii="Calibri" w:eastAsia="Calibri" w:hAnsi="Calibri" w:cs="Calibri"/>
                <w:b/>
                <w:bCs/>
                <w:color w:val="333333"/>
              </w:rPr>
            </w:pPr>
            <w:r w:rsidRPr="00766AF0">
              <w:rPr>
                <w:rFonts w:ascii="Calibri" w:eastAsia="Calibri" w:hAnsi="Calibri" w:cs="Calibri"/>
                <w:b/>
                <w:bCs/>
                <w:color w:val="333333"/>
              </w:rPr>
              <w:t>Examples</w:t>
            </w:r>
          </w:p>
        </w:tc>
      </w:tr>
      <w:tr w:rsidR="00E2314E" w14:paraId="101F4CBB" w14:textId="77777777" w:rsidTr="00E2314E">
        <w:tc>
          <w:tcPr>
            <w:tcW w:w="2235" w:type="dxa"/>
          </w:tcPr>
          <w:p w14:paraId="47897668" w14:textId="77777777" w:rsidR="00E2314E" w:rsidRDefault="00E2314E" w:rsidP="003D3393">
            <w:pPr>
              <w:rPr>
                <w:rFonts w:ascii="Calibri" w:eastAsia="Calibri" w:hAnsi="Calibri" w:cs="Calibri"/>
                <w:color w:val="333333"/>
              </w:rPr>
            </w:pPr>
            <w:r>
              <w:rPr>
                <w:rFonts w:ascii="Calibri" w:eastAsia="Calibri" w:hAnsi="Calibri" w:cs="Calibri"/>
                <w:color w:val="333333"/>
              </w:rPr>
              <w:t>Act to ensure that national policy, whatever the topic area, is seen as an opportunity to improve health</w:t>
            </w:r>
          </w:p>
        </w:tc>
        <w:tc>
          <w:tcPr>
            <w:tcW w:w="2551" w:type="dxa"/>
          </w:tcPr>
          <w:p w14:paraId="7F9041B4" w14:textId="77777777" w:rsidR="00E2314E" w:rsidRDefault="00E2314E" w:rsidP="003D3393">
            <w:pPr>
              <w:rPr>
                <w:rFonts w:ascii="Calibri" w:eastAsia="Calibri" w:hAnsi="Calibri" w:cs="Calibri"/>
                <w:color w:val="333333"/>
              </w:rPr>
            </w:pPr>
            <w:r>
              <w:rPr>
                <w:rFonts w:ascii="Calibri" w:eastAsia="Calibri" w:hAnsi="Calibri" w:cs="Calibri"/>
                <w:color w:val="333333"/>
              </w:rPr>
              <w:t>Civil servants</w:t>
            </w:r>
          </w:p>
          <w:p w14:paraId="5C3592FF" w14:textId="77777777" w:rsidR="00E2314E" w:rsidRDefault="00E2314E" w:rsidP="003D3393">
            <w:pPr>
              <w:rPr>
                <w:rFonts w:ascii="Calibri" w:eastAsia="Calibri" w:hAnsi="Calibri" w:cs="Calibri"/>
                <w:color w:val="333333"/>
              </w:rPr>
            </w:pPr>
            <w:r>
              <w:rPr>
                <w:rFonts w:ascii="Calibri" w:eastAsia="Calibri" w:hAnsi="Calibri" w:cs="Calibri"/>
                <w:color w:val="333333"/>
              </w:rPr>
              <w:t>Lobbyists</w:t>
            </w:r>
          </w:p>
          <w:p w14:paraId="0E551D2D" w14:textId="77777777" w:rsidR="00E2314E" w:rsidRDefault="00E2314E" w:rsidP="003D3393">
            <w:pPr>
              <w:rPr>
                <w:rFonts w:ascii="Calibri" w:eastAsia="Calibri" w:hAnsi="Calibri" w:cs="Calibri"/>
                <w:color w:val="333333"/>
              </w:rPr>
            </w:pPr>
            <w:r>
              <w:rPr>
                <w:rFonts w:ascii="Calibri" w:eastAsia="Calibri" w:hAnsi="Calibri" w:cs="Calibri"/>
                <w:color w:val="333333"/>
              </w:rPr>
              <w:t xml:space="preserve">Professional groups </w:t>
            </w:r>
            <w:proofErr w:type="gramStart"/>
            <w:r>
              <w:rPr>
                <w:rFonts w:ascii="Calibri" w:eastAsia="Calibri" w:hAnsi="Calibri" w:cs="Calibri"/>
                <w:color w:val="333333"/>
              </w:rPr>
              <w:t>e.g.</w:t>
            </w:r>
            <w:proofErr w:type="gramEnd"/>
            <w:r>
              <w:rPr>
                <w:rFonts w:ascii="Calibri" w:eastAsia="Calibri" w:hAnsi="Calibri" w:cs="Calibri"/>
                <w:color w:val="333333"/>
              </w:rPr>
              <w:t xml:space="preserve"> Medical Royal Colleges</w:t>
            </w:r>
          </w:p>
        </w:tc>
        <w:tc>
          <w:tcPr>
            <w:tcW w:w="4678" w:type="dxa"/>
          </w:tcPr>
          <w:p w14:paraId="2AB76A37" w14:textId="77777777" w:rsidR="00E2314E" w:rsidRDefault="00E2314E" w:rsidP="003D3393">
            <w:pPr>
              <w:rPr>
                <w:rFonts w:ascii="Calibri" w:eastAsia="Calibri" w:hAnsi="Calibri" w:cs="Calibri"/>
                <w:color w:val="333333"/>
              </w:rPr>
            </w:pPr>
            <w:r>
              <w:rPr>
                <w:rFonts w:ascii="Calibri" w:eastAsia="Calibri" w:hAnsi="Calibri" w:cs="Calibri"/>
                <w:color w:val="333333"/>
              </w:rPr>
              <w:t>Road planning and its effects on community displacement and availability of green spaces</w:t>
            </w:r>
          </w:p>
          <w:p w14:paraId="7CB1448A" w14:textId="77777777" w:rsidR="00E2314E" w:rsidRDefault="00E2314E" w:rsidP="003D3393">
            <w:pPr>
              <w:rPr>
                <w:rFonts w:ascii="Calibri" w:eastAsia="Calibri" w:hAnsi="Calibri" w:cs="Calibri"/>
                <w:color w:val="333333"/>
              </w:rPr>
            </w:pPr>
            <w:r>
              <w:rPr>
                <w:rFonts w:ascii="Calibri" w:eastAsia="Calibri" w:hAnsi="Calibri" w:cs="Calibri"/>
                <w:color w:val="333333"/>
              </w:rPr>
              <w:t>Lobbying local politicians for sugar taxation</w:t>
            </w:r>
          </w:p>
          <w:p w14:paraId="724D0755" w14:textId="2935DD7E" w:rsidR="00E2314E" w:rsidRDefault="00E2314E" w:rsidP="003D3393">
            <w:pPr>
              <w:rPr>
                <w:rFonts w:ascii="Calibri" w:eastAsia="Calibri" w:hAnsi="Calibri" w:cs="Calibri"/>
                <w:color w:val="333333"/>
              </w:rPr>
            </w:pPr>
            <w:r>
              <w:rPr>
                <w:rFonts w:ascii="Calibri" w:eastAsia="Calibri" w:hAnsi="Calibri" w:cs="Calibri"/>
                <w:color w:val="333333"/>
              </w:rPr>
              <w:t>Generation of consistent, affordable treatment algorithms for tertiary prevention</w:t>
            </w:r>
          </w:p>
        </w:tc>
      </w:tr>
      <w:tr w:rsidR="00E2314E" w14:paraId="4C7875AF" w14:textId="77777777" w:rsidTr="00E2314E">
        <w:tc>
          <w:tcPr>
            <w:tcW w:w="2235" w:type="dxa"/>
          </w:tcPr>
          <w:p w14:paraId="1BCF575C" w14:textId="77777777" w:rsidR="00E2314E" w:rsidRDefault="00E2314E" w:rsidP="003D3393">
            <w:pPr>
              <w:rPr>
                <w:rFonts w:ascii="Calibri" w:eastAsia="Calibri" w:hAnsi="Calibri" w:cs="Calibri"/>
                <w:color w:val="333333"/>
              </w:rPr>
            </w:pPr>
            <w:r>
              <w:rPr>
                <w:rFonts w:ascii="Calibri" w:eastAsia="Calibri" w:hAnsi="Calibri" w:cs="Calibri"/>
                <w:color w:val="333333"/>
              </w:rPr>
              <w:t>Be instrumental in designing better health and care services and promote health in other public services</w:t>
            </w:r>
          </w:p>
        </w:tc>
        <w:tc>
          <w:tcPr>
            <w:tcW w:w="2551" w:type="dxa"/>
          </w:tcPr>
          <w:p w14:paraId="7C572B73" w14:textId="77777777" w:rsidR="00E2314E" w:rsidRDefault="00E2314E" w:rsidP="003D3393">
            <w:pPr>
              <w:rPr>
                <w:rFonts w:ascii="Calibri" w:eastAsia="Calibri" w:hAnsi="Calibri" w:cs="Calibri"/>
                <w:color w:val="333333"/>
              </w:rPr>
            </w:pPr>
            <w:r>
              <w:rPr>
                <w:rFonts w:ascii="Calibri" w:eastAsia="Calibri" w:hAnsi="Calibri" w:cs="Calibri"/>
                <w:color w:val="333333"/>
              </w:rPr>
              <w:t>Health and care commissioners</w:t>
            </w:r>
          </w:p>
          <w:p w14:paraId="372AE279" w14:textId="77777777" w:rsidR="00E2314E" w:rsidRDefault="00E2314E" w:rsidP="003D3393">
            <w:pPr>
              <w:rPr>
                <w:rFonts w:ascii="Calibri" w:eastAsia="Calibri" w:hAnsi="Calibri" w:cs="Calibri"/>
                <w:color w:val="333333"/>
              </w:rPr>
            </w:pPr>
            <w:r>
              <w:rPr>
                <w:rFonts w:ascii="Calibri" w:eastAsia="Calibri" w:hAnsi="Calibri" w:cs="Calibri"/>
                <w:color w:val="333333"/>
              </w:rPr>
              <w:t>Health care managers and clinicians</w:t>
            </w:r>
          </w:p>
          <w:p w14:paraId="033F1400" w14:textId="77777777" w:rsidR="00E2314E" w:rsidRDefault="00E2314E" w:rsidP="003D3393">
            <w:pPr>
              <w:rPr>
                <w:rFonts w:ascii="Calibri" w:eastAsia="Calibri" w:hAnsi="Calibri" w:cs="Calibri"/>
                <w:color w:val="333333"/>
              </w:rPr>
            </w:pPr>
            <w:r>
              <w:rPr>
                <w:rFonts w:ascii="Calibri" w:eastAsia="Calibri" w:hAnsi="Calibri" w:cs="Calibri"/>
                <w:color w:val="333333"/>
              </w:rPr>
              <w:t>Public libraries providing health information</w:t>
            </w:r>
          </w:p>
          <w:p w14:paraId="25EF07E3" w14:textId="77777777" w:rsidR="00E2314E" w:rsidRDefault="00E2314E" w:rsidP="003D3393">
            <w:pPr>
              <w:rPr>
                <w:rFonts w:ascii="Calibri" w:eastAsia="Calibri" w:hAnsi="Calibri" w:cs="Calibri"/>
                <w:color w:val="333333"/>
              </w:rPr>
            </w:pPr>
          </w:p>
        </w:tc>
        <w:tc>
          <w:tcPr>
            <w:tcW w:w="4678" w:type="dxa"/>
          </w:tcPr>
          <w:p w14:paraId="5E0E58AC" w14:textId="27231148" w:rsidR="00E2314E" w:rsidRDefault="00E2314E" w:rsidP="003D3393">
            <w:pPr>
              <w:rPr>
                <w:rFonts w:ascii="Calibri" w:eastAsia="Calibri" w:hAnsi="Calibri" w:cs="Calibri"/>
                <w:color w:val="333333"/>
              </w:rPr>
            </w:pPr>
            <w:r>
              <w:rPr>
                <w:rFonts w:ascii="Calibri" w:eastAsia="Calibri" w:hAnsi="Calibri" w:cs="Calibri"/>
                <w:color w:val="333333"/>
              </w:rPr>
              <w:t>Clinical audit on inequalities in access to medical services</w:t>
            </w:r>
          </w:p>
          <w:p w14:paraId="4D4511A9" w14:textId="77777777" w:rsidR="00E2314E" w:rsidRDefault="00E2314E" w:rsidP="003D3393">
            <w:pPr>
              <w:rPr>
                <w:rFonts w:ascii="Calibri" w:eastAsia="Calibri" w:hAnsi="Calibri" w:cs="Calibri"/>
                <w:color w:val="333333"/>
              </w:rPr>
            </w:pPr>
            <w:r>
              <w:rPr>
                <w:rFonts w:ascii="Calibri" w:eastAsia="Calibri" w:hAnsi="Calibri" w:cs="Calibri"/>
                <w:color w:val="333333"/>
              </w:rPr>
              <w:t>Outreach medical or psychological services</w:t>
            </w:r>
          </w:p>
          <w:p w14:paraId="676C9AB8" w14:textId="0D43A19B" w:rsidR="00E2314E" w:rsidRDefault="00E2314E" w:rsidP="003D3393">
            <w:pPr>
              <w:rPr>
                <w:rFonts w:ascii="Calibri" w:eastAsia="Calibri" w:hAnsi="Calibri" w:cs="Calibri"/>
                <w:color w:val="333333"/>
              </w:rPr>
            </w:pPr>
          </w:p>
        </w:tc>
      </w:tr>
      <w:tr w:rsidR="00E2314E" w14:paraId="4F5DFA80" w14:textId="77777777" w:rsidTr="00E2314E">
        <w:tc>
          <w:tcPr>
            <w:tcW w:w="2235" w:type="dxa"/>
          </w:tcPr>
          <w:p w14:paraId="4447A98B" w14:textId="77777777" w:rsidR="00E2314E" w:rsidRDefault="00E2314E" w:rsidP="003D3393">
            <w:pPr>
              <w:rPr>
                <w:rFonts w:ascii="Calibri" w:eastAsia="Calibri" w:hAnsi="Calibri" w:cs="Calibri"/>
                <w:color w:val="333333"/>
              </w:rPr>
            </w:pPr>
            <w:r>
              <w:rPr>
                <w:rFonts w:ascii="Calibri" w:eastAsia="Calibri" w:hAnsi="Calibri" w:cs="Calibri"/>
                <w:color w:val="333333"/>
              </w:rPr>
              <w:t>Establish health-enhancing initiatives for communities or workplaces and design services that support healthier choices and lifestyles</w:t>
            </w:r>
          </w:p>
        </w:tc>
        <w:tc>
          <w:tcPr>
            <w:tcW w:w="2551" w:type="dxa"/>
          </w:tcPr>
          <w:p w14:paraId="0C4013B7" w14:textId="77777777" w:rsidR="00E2314E" w:rsidRDefault="00E2314E" w:rsidP="003D3393">
            <w:pPr>
              <w:rPr>
                <w:rFonts w:ascii="Calibri" w:eastAsia="Calibri" w:hAnsi="Calibri" w:cs="Calibri"/>
                <w:color w:val="333333"/>
              </w:rPr>
            </w:pPr>
            <w:r>
              <w:rPr>
                <w:rFonts w:ascii="Calibri" w:eastAsia="Calibri" w:hAnsi="Calibri" w:cs="Calibri"/>
                <w:color w:val="333333"/>
              </w:rPr>
              <w:t>Workplace health coordinators, human resources, occupational health</w:t>
            </w:r>
          </w:p>
          <w:p w14:paraId="1140FB45" w14:textId="77777777" w:rsidR="00E2314E" w:rsidRDefault="00E2314E" w:rsidP="003D3393">
            <w:pPr>
              <w:rPr>
                <w:rFonts w:ascii="Calibri" w:eastAsia="Calibri" w:hAnsi="Calibri" w:cs="Calibri"/>
                <w:color w:val="333333"/>
              </w:rPr>
            </w:pPr>
            <w:r>
              <w:rPr>
                <w:rFonts w:ascii="Calibri" w:eastAsia="Calibri" w:hAnsi="Calibri" w:cs="Calibri"/>
                <w:color w:val="333333"/>
              </w:rPr>
              <w:t>Commercial companies</w:t>
            </w:r>
          </w:p>
          <w:p w14:paraId="04F44ADB" w14:textId="77777777" w:rsidR="00E2314E" w:rsidRDefault="00E2314E" w:rsidP="003D3393">
            <w:pPr>
              <w:rPr>
                <w:rFonts w:ascii="Calibri" w:eastAsia="Calibri" w:hAnsi="Calibri" w:cs="Calibri"/>
                <w:color w:val="333333"/>
              </w:rPr>
            </w:pPr>
            <w:r>
              <w:rPr>
                <w:rFonts w:ascii="Calibri" w:eastAsia="Calibri" w:hAnsi="Calibri" w:cs="Calibri"/>
                <w:color w:val="333333"/>
              </w:rPr>
              <w:t>Health and care commissioners</w:t>
            </w:r>
          </w:p>
          <w:p w14:paraId="2AE85D4C" w14:textId="77777777" w:rsidR="00E2314E" w:rsidRDefault="00E2314E" w:rsidP="003D3393">
            <w:pPr>
              <w:rPr>
                <w:rFonts w:ascii="Calibri" w:eastAsia="Calibri" w:hAnsi="Calibri" w:cs="Calibri"/>
                <w:color w:val="333333"/>
              </w:rPr>
            </w:pPr>
          </w:p>
        </w:tc>
        <w:tc>
          <w:tcPr>
            <w:tcW w:w="4678" w:type="dxa"/>
          </w:tcPr>
          <w:p w14:paraId="2F4FE6C1" w14:textId="77777777" w:rsidR="00E2314E" w:rsidRDefault="00E2314E" w:rsidP="003D3393">
            <w:pPr>
              <w:rPr>
                <w:rFonts w:ascii="Calibri" w:eastAsia="Calibri" w:hAnsi="Calibri" w:cs="Calibri"/>
                <w:color w:val="333333"/>
              </w:rPr>
            </w:pPr>
            <w:r>
              <w:rPr>
                <w:rFonts w:ascii="Calibri" w:eastAsia="Calibri" w:hAnsi="Calibri" w:cs="Calibri"/>
                <w:color w:val="333333"/>
              </w:rPr>
              <w:t>Healthy food choices in vending machines</w:t>
            </w:r>
          </w:p>
          <w:p w14:paraId="27545228" w14:textId="77777777" w:rsidR="00E2314E" w:rsidRDefault="00E2314E" w:rsidP="003D3393">
            <w:pPr>
              <w:rPr>
                <w:rFonts w:ascii="Calibri" w:eastAsia="Calibri" w:hAnsi="Calibri" w:cs="Calibri"/>
                <w:color w:val="333333"/>
              </w:rPr>
            </w:pPr>
            <w:r>
              <w:rPr>
                <w:rFonts w:ascii="Calibri" w:eastAsia="Calibri" w:hAnsi="Calibri" w:cs="Calibri"/>
                <w:color w:val="333333"/>
              </w:rPr>
              <w:t>Water availability</w:t>
            </w:r>
          </w:p>
          <w:p w14:paraId="68E08C6A" w14:textId="77777777" w:rsidR="00E2314E" w:rsidRDefault="00E2314E" w:rsidP="003D3393">
            <w:pPr>
              <w:rPr>
                <w:rFonts w:ascii="Calibri" w:eastAsia="Calibri" w:hAnsi="Calibri" w:cs="Calibri"/>
                <w:color w:val="333333"/>
              </w:rPr>
            </w:pPr>
            <w:r>
              <w:rPr>
                <w:rFonts w:ascii="Calibri" w:eastAsia="Calibri" w:hAnsi="Calibri" w:cs="Calibri"/>
                <w:color w:val="333333"/>
              </w:rPr>
              <w:t>Health checks in the workplace</w:t>
            </w:r>
          </w:p>
          <w:p w14:paraId="183F0EFF" w14:textId="77777777" w:rsidR="00E2314E" w:rsidRDefault="00E2314E" w:rsidP="003D3393">
            <w:pPr>
              <w:rPr>
                <w:rFonts w:ascii="Calibri" w:eastAsia="Calibri" w:hAnsi="Calibri" w:cs="Calibri"/>
                <w:color w:val="333333"/>
              </w:rPr>
            </w:pPr>
            <w:r>
              <w:rPr>
                <w:rFonts w:ascii="Calibri" w:eastAsia="Calibri" w:hAnsi="Calibri" w:cs="Calibri"/>
                <w:color w:val="333333"/>
              </w:rPr>
              <w:t>Mental health champions</w:t>
            </w:r>
          </w:p>
          <w:p w14:paraId="0977AE14" w14:textId="0A4EDD37" w:rsidR="00453664" w:rsidRDefault="00453664" w:rsidP="003D3393">
            <w:pPr>
              <w:rPr>
                <w:rFonts w:ascii="Calibri" w:eastAsia="Calibri" w:hAnsi="Calibri" w:cs="Calibri"/>
                <w:color w:val="333333"/>
              </w:rPr>
            </w:pPr>
            <w:r>
              <w:rPr>
                <w:rFonts w:ascii="Calibri" w:eastAsia="Calibri" w:hAnsi="Calibri" w:cs="Calibri"/>
                <w:color w:val="333333"/>
              </w:rPr>
              <w:t>Showers, cycle parks, walking buses, guided walks, walking meetings</w:t>
            </w:r>
          </w:p>
        </w:tc>
      </w:tr>
      <w:tr w:rsidR="00E2314E" w14:paraId="08BC18C6" w14:textId="77777777" w:rsidTr="00E2314E">
        <w:tc>
          <w:tcPr>
            <w:tcW w:w="2235" w:type="dxa"/>
          </w:tcPr>
          <w:p w14:paraId="635FD40B" w14:textId="77777777" w:rsidR="00E2314E" w:rsidRDefault="00E2314E" w:rsidP="003D3393">
            <w:pPr>
              <w:rPr>
                <w:rFonts w:ascii="Calibri" w:eastAsia="Calibri" w:hAnsi="Calibri" w:cs="Calibri"/>
                <w:color w:val="333333"/>
              </w:rPr>
            </w:pPr>
            <w:r>
              <w:rPr>
                <w:rFonts w:ascii="Calibri" w:eastAsia="Calibri" w:hAnsi="Calibri" w:cs="Calibri"/>
                <w:color w:val="333333"/>
              </w:rPr>
              <w:t>Raise public awareness of health issues and signpost individuals towards opportunities for self-help</w:t>
            </w:r>
          </w:p>
        </w:tc>
        <w:tc>
          <w:tcPr>
            <w:tcW w:w="2551" w:type="dxa"/>
          </w:tcPr>
          <w:p w14:paraId="6E569823" w14:textId="77777777" w:rsidR="00E2314E" w:rsidRDefault="00E2314E" w:rsidP="003D3393">
            <w:pPr>
              <w:rPr>
                <w:rFonts w:ascii="Calibri" w:eastAsia="Calibri" w:hAnsi="Calibri" w:cs="Calibri"/>
                <w:color w:val="333333"/>
              </w:rPr>
            </w:pPr>
            <w:r>
              <w:rPr>
                <w:rFonts w:ascii="Calibri" w:eastAsia="Calibri" w:hAnsi="Calibri" w:cs="Calibri"/>
                <w:color w:val="333333"/>
              </w:rPr>
              <w:t>Charities</w:t>
            </w:r>
          </w:p>
          <w:p w14:paraId="0B17775F" w14:textId="77777777" w:rsidR="00E2314E" w:rsidRDefault="00E2314E" w:rsidP="003D3393">
            <w:pPr>
              <w:rPr>
                <w:rFonts w:ascii="Calibri" w:eastAsia="Calibri" w:hAnsi="Calibri" w:cs="Calibri"/>
                <w:color w:val="333333"/>
              </w:rPr>
            </w:pPr>
            <w:r>
              <w:rPr>
                <w:rFonts w:ascii="Calibri" w:eastAsia="Calibri" w:hAnsi="Calibri" w:cs="Calibri"/>
                <w:color w:val="333333"/>
              </w:rPr>
              <w:t>Health and social care workers</w:t>
            </w:r>
          </w:p>
          <w:p w14:paraId="1E4B2658" w14:textId="77777777" w:rsidR="00E2314E" w:rsidRDefault="00E2314E" w:rsidP="003D3393">
            <w:pPr>
              <w:rPr>
                <w:rFonts w:ascii="Calibri" w:eastAsia="Calibri" w:hAnsi="Calibri" w:cs="Calibri"/>
                <w:color w:val="333333"/>
              </w:rPr>
            </w:pPr>
            <w:r>
              <w:rPr>
                <w:rFonts w:ascii="Calibri" w:eastAsia="Calibri" w:hAnsi="Calibri" w:cs="Calibri"/>
                <w:color w:val="333333"/>
              </w:rPr>
              <w:t>School teachers and managers</w:t>
            </w:r>
          </w:p>
          <w:p w14:paraId="440AC59A" w14:textId="77777777" w:rsidR="00E2314E" w:rsidRDefault="00E2314E" w:rsidP="003D3393">
            <w:pPr>
              <w:rPr>
                <w:rFonts w:ascii="Calibri" w:eastAsia="Calibri" w:hAnsi="Calibri" w:cs="Calibri"/>
                <w:color w:val="333333"/>
              </w:rPr>
            </w:pPr>
            <w:r>
              <w:rPr>
                <w:rFonts w:ascii="Calibri" w:eastAsia="Calibri" w:hAnsi="Calibri" w:cs="Calibri"/>
                <w:color w:val="333333"/>
              </w:rPr>
              <w:t>National and local media</w:t>
            </w:r>
          </w:p>
          <w:p w14:paraId="6C4B714B" w14:textId="77777777" w:rsidR="00E2314E" w:rsidRDefault="00E2314E" w:rsidP="003D3393">
            <w:pPr>
              <w:rPr>
                <w:rFonts w:ascii="Calibri" w:eastAsia="Calibri" w:hAnsi="Calibri" w:cs="Calibri"/>
                <w:color w:val="333333"/>
              </w:rPr>
            </w:pPr>
            <w:r>
              <w:rPr>
                <w:rFonts w:ascii="Calibri" w:eastAsia="Calibri" w:hAnsi="Calibri" w:cs="Calibri"/>
                <w:color w:val="333333"/>
              </w:rPr>
              <w:t xml:space="preserve">National and local government information campaigns </w:t>
            </w:r>
          </w:p>
        </w:tc>
        <w:tc>
          <w:tcPr>
            <w:tcW w:w="4678" w:type="dxa"/>
          </w:tcPr>
          <w:p w14:paraId="25464DF9" w14:textId="77777777" w:rsidR="00E2314E" w:rsidRDefault="00E2314E" w:rsidP="003D3393">
            <w:pPr>
              <w:rPr>
                <w:rFonts w:ascii="Calibri" w:eastAsia="Calibri" w:hAnsi="Calibri" w:cs="Calibri"/>
                <w:color w:val="333333"/>
              </w:rPr>
            </w:pPr>
            <w:r>
              <w:rPr>
                <w:rFonts w:ascii="Calibri" w:eastAsia="Calibri" w:hAnsi="Calibri" w:cs="Calibri"/>
                <w:color w:val="333333"/>
              </w:rPr>
              <w:t>Social prescribing scheme promotion</w:t>
            </w:r>
          </w:p>
          <w:p w14:paraId="3FABC229" w14:textId="77777777" w:rsidR="00E2314E" w:rsidRDefault="00E2314E" w:rsidP="003D3393">
            <w:pPr>
              <w:rPr>
                <w:rFonts w:ascii="Calibri" w:eastAsia="Calibri" w:hAnsi="Calibri" w:cs="Calibri"/>
                <w:color w:val="333333"/>
              </w:rPr>
            </w:pPr>
            <w:r>
              <w:rPr>
                <w:rFonts w:ascii="Calibri" w:eastAsia="Calibri" w:hAnsi="Calibri" w:cs="Calibri"/>
                <w:color w:val="333333"/>
              </w:rPr>
              <w:t>Information campaigns</w:t>
            </w:r>
          </w:p>
          <w:p w14:paraId="2F400C4B" w14:textId="77777777" w:rsidR="00453664" w:rsidRDefault="00453664" w:rsidP="003D3393">
            <w:pPr>
              <w:rPr>
                <w:rFonts w:ascii="Calibri" w:eastAsia="Calibri" w:hAnsi="Calibri" w:cs="Calibri"/>
                <w:color w:val="333333"/>
              </w:rPr>
            </w:pPr>
            <w:r>
              <w:rPr>
                <w:rFonts w:ascii="Calibri" w:eastAsia="Calibri" w:hAnsi="Calibri" w:cs="Calibri"/>
                <w:color w:val="333333"/>
              </w:rPr>
              <w:t xml:space="preserve">Childhood weight measurement (surveillance) </w:t>
            </w:r>
          </w:p>
          <w:p w14:paraId="152A0986" w14:textId="3B0E50D7" w:rsidR="00453664" w:rsidRDefault="00453664" w:rsidP="003D3393">
            <w:pPr>
              <w:rPr>
                <w:rFonts w:ascii="Calibri" w:eastAsia="Calibri" w:hAnsi="Calibri" w:cs="Calibri"/>
                <w:color w:val="333333"/>
              </w:rPr>
            </w:pPr>
            <w:r>
              <w:rPr>
                <w:rFonts w:ascii="Calibri" w:eastAsia="Calibri" w:hAnsi="Calibri" w:cs="Calibri"/>
                <w:color w:val="333333"/>
              </w:rPr>
              <w:t>Signposting to weight management services during consultations</w:t>
            </w:r>
          </w:p>
        </w:tc>
      </w:tr>
      <w:tr w:rsidR="00E2314E" w14:paraId="428FED3F" w14:textId="77777777" w:rsidTr="00E2314E">
        <w:tc>
          <w:tcPr>
            <w:tcW w:w="2235" w:type="dxa"/>
          </w:tcPr>
          <w:p w14:paraId="330F1529" w14:textId="77777777" w:rsidR="00E2314E" w:rsidRDefault="00E2314E" w:rsidP="003D3393">
            <w:pPr>
              <w:rPr>
                <w:rFonts w:ascii="Calibri" w:eastAsia="Calibri" w:hAnsi="Calibri" w:cs="Calibri"/>
                <w:color w:val="333333"/>
              </w:rPr>
            </w:pPr>
            <w:r>
              <w:rPr>
                <w:rFonts w:ascii="Calibri" w:eastAsia="Calibri" w:hAnsi="Calibri" w:cs="Calibri"/>
                <w:color w:val="333333"/>
              </w:rPr>
              <w:t>Act as advocates for public health and adopt healthier, more sustainable lifestyles</w:t>
            </w:r>
          </w:p>
        </w:tc>
        <w:tc>
          <w:tcPr>
            <w:tcW w:w="2551" w:type="dxa"/>
          </w:tcPr>
          <w:p w14:paraId="64AB8655" w14:textId="77777777" w:rsidR="00E2314E" w:rsidRDefault="00E2314E" w:rsidP="003D3393">
            <w:pPr>
              <w:rPr>
                <w:rFonts w:ascii="Calibri" w:eastAsia="Calibri" w:hAnsi="Calibri" w:cs="Calibri"/>
                <w:color w:val="333333"/>
              </w:rPr>
            </w:pPr>
            <w:r>
              <w:rPr>
                <w:rFonts w:ascii="Calibri" w:eastAsia="Calibri" w:hAnsi="Calibri" w:cs="Calibri"/>
                <w:color w:val="333333"/>
              </w:rPr>
              <w:t>Everyone</w:t>
            </w:r>
          </w:p>
        </w:tc>
        <w:tc>
          <w:tcPr>
            <w:tcW w:w="4678" w:type="dxa"/>
          </w:tcPr>
          <w:p w14:paraId="234D4CD0" w14:textId="77777777" w:rsidR="00E2314E" w:rsidRDefault="00E2314E" w:rsidP="003D3393">
            <w:pPr>
              <w:rPr>
                <w:rFonts w:ascii="Calibri" w:eastAsia="Calibri" w:hAnsi="Calibri" w:cs="Calibri"/>
                <w:color w:val="333333"/>
              </w:rPr>
            </w:pPr>
            <w:r>
              <w:rPr>
                <w:rFonts w:ascii="Calibri" w:eastAsia="Calibri" w:hAnsi="Calibri" w:cs="Calibri"/>
                <w:color w:val="333333"/>
              </w:rPr>
              <w:t>Minimise waste</w:t>
            </w:r>
          </w:p>
          <w:p w14:paraId="67888A8C" w14:textId="77777777" w:rsidR="00E2314E" w:rsidRDefault="00E2314E" w:rsidP="003D3393">
            <w:pPr>
              <w:rPr>
                <w:rFonts w:ascii="Calibri" w:eastAsia="Calibri" w:hAnsi="Calibri" w:cs="Calibri"/>
                <w:color w:val="333333"/>
              </w:rPr>
            </w:pPr>
            <w:r>
              <w:rPr>
                <w:rFonts w:ascii="Calibri" w:eastAsia="Calibri" w:hAnsi="Calibri" w:cs="Calibri"/>
                <w:color w:val="333333"/>
              </w:rPr>
              <w:t>Eat healthily</w:t>
            </w:r>
          </w:p>
          <w:p w14:paraId="7C380588" w14:textId="77777777" w:rsidR="00E2314E" w:rsidRDefault="00E2314E" w:rsidP="003D3393">
            <w:pPr>
              <w:rPr>
                <w:rFonts w:ascii="Calibri" w:eastAsia="Calibri" w:hAnsi="Calibri" w:cs="Calibri"/>
                <w:color w:val="333333"/>
              </w:rPr>
            </w:pPr>
            <w:r>
              <w:rPr>
                <w:rFonts w:ascii="Calibri" w:eastAsia="Calibri" w:hAnsi="Calibri" w:cs="Calibri"/>
                <w:color w:val="333333"/>
              </w:rPr>
              <w:t>Undertake physical activity</w:t>
            </w:r>
          </w:p>
          <w:p w14:paraId="0C392919" w14:textId="77777777" w:rsidR="00E2314E" w:rsidRDefault="00E2314E" w:rsidP="003D3393">
            <w:pPr>
              <w:rPr>
                <w:rFonts w:ascii="Calibri" w:eastAsia="Calibri" w:hAnsi="Calibri" w:cs="Calibri"/>
                <w:color w:val="333333"/>
              </w:rPr>
            </w:pPr>
            <w:r>
              <w:rPr>
                <w:rFonts w:ascii="Calibri" w:eastAsia="Calibri" w:hAnsi="Calibri" w:cs="Calibri"/>
                <w:color w:val="333333"/>
              </w:rPr>
              <w:t>Moderate drinking alcohol</w:t>
            </w:r>
          </w:p>
          <w:p w14:paraId="07EA4CC6" w14:textId="77777777" w:rsidR="00E2314E" w:rsidRDefault="00E2314E" w:rsidP="003D3393">
            <w:pPr>
              <w:rPr>
                <w:rFonts w:ascii="Calibri" w:eastAsia="Calibri" w:hAnsi="Calibri" w:cs="Calibri"/>
                <w:color w:val="333333"/>
              </w:rPr>
            </w:pPr>
            <w:r>
              <w:rPr>
                <w:rFonts w:ascii="Calibri" w:eastAsia="Calibri" w:hAnsi="Calibri" w:cs="Calibri"/>
                <w:color w:val="333333"/>
              </w:rPr>
              <w:t>Cycle or walk more</w:t>
            </w:r>
          </w:p>
        </w:tc>
      </w:tr>
    </w:tbl>
    <w:p w14:paraId="12C8596E" w14:textId="77777777" w:rsidR="00E2314E" w:rsidRDefault="00E2314E">
      <w:pPr>
        <w:pStyle w:val="BodyText"/>
        <w:spacing w:line="276" w:lineRule="auto"/>
        <w:ind w:right="131"/>
      </w:pPr>
    </w:p>
    <w:p w14:paraId="106F600D" w14:textId="77777777" w:rsidR="00282531" w:rsidRDefault="00282531" w:rsidP="00453664">
      <w:pPr>
        <w:pStyle w:val="BodyText"/>
        <w:spacing w:line="276" w:lineRule="auto"/>
        <w:ind w:left="0" w:right="131"/>
      </w:pPr>
    </w:p>
    <w:sectPr w:rsidR="00282531">
      <w:pgSz w:w="11910" w:h="16840"/>
      <w:pgMar w:top="1360" w:right="1320" w:bottom="280" w:left="12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6964BC"/>
    <w:multiLevelType w:val="hybridMultilevel"/>
    <w:tmpl w:val="9AC86FC4"/>
    <w:lvl w:ilvl="0" w:tplc="470286BC">
      <w:start w:val="1"/>
      <w:numFmt w:val="lowerLetter"/>
      <w:lvlText w:val="%1)"/>
      <w:lvlJc w:val="left"/>
      <w:pPr>
        <w:ind w:left="880" w:hanging="720"/>
        <w:jc w:val="left"/>
      </w:pPr>
      <w:rPr>
        <w:rFonts w:ascii="Arial" w:eastAsia="Arial" w:hAnsi="Arial" w:cs="Arial" w:hint="default"/>
        <w:w w:val="99"/>
        <w:sz w:val="22"/>
        <w:szCs w:val="22"/>
        <w:lang w:val="en-GB" w:eastAsia="en-GB" w:bidi="en-GB"/>
      </w:rPr>
    </w:lvl>
    <w:lvl w:ilvl="1" w:tplc="45847054">
      <w:start w:val="2"/>
      <w:numFmt w:val="lowerRoman"/>
      <w:lvlText w:val="%2."/>
      <w:lvlJc w:val="left"/>
      <w:pPr>
        <w:ind w:left="1100" w:hanging="221"/>
        <w:jc w:val="left"/>
      </w:pPr>
      <w:rPr>
        <w:rFonts w:ascii="Arial" w:eastAsia="Arial" w:hAnsi="Arial" w:cs="Arial" w:hint="default"/>
        <w:w w:val="99"/>
        <w:sz w:val="22"/>
        <w:szCs w:val="22"/>
        <w:lang w:val="en-GB" w:eastAsia="en-GB" w:bidi="en-GB"/>
      </w:rPr>
    </w:lvl>
    <w:lvl w:ilvl="2" w:tplc="C9E61310">
      <w:numFmt w:val="bullet"/>
      <w:lvlText w:val="•"/>
      <w:lvlJc w:val="left"/>
      <w:pPr>
        <w:ind w:left="2011" w:hanging="221"/>
      </w:pPr>
      <w:rPr>
        <w:rFonts w:hint="default"/>
        <w:lang w:val="en-GB" w:eastAsia="en-GB" w:bidi="en-GB"/>
      </w:rPr>
    </w:lvl>
    <w:lvl w:ilvl="3" w:tplc="97E47DCE">
      <w:numFmt w:val="bullet"/>
      <w:lvlText w:val="•"/>
      <w:lvlJc w:val="left"/>
      <w:pPr>
        <w:ind w:left="2923" w:hanging="221"/>
      </w:pPr>
      <w:rPr>
        <w:rFonts w:hint="default"/>
        <w:lang w:val="en-GB" w:eastAsia="en-GB" w:bidi="en-GB"/>
      </w:rPr>
    </w:lvl>
    <w:lvl w:ilvl="4" w:tplc="C776ABF6">
      <w:numFmt w:val="bullet"/>
      <w:lvlText w:val="•"/>
      <w:lvlJc w:val="left"/>
      <w:pPr>
        <w:ind w:left="3834" w:hanging="221"/>
      </w:pPr>
      <w:rPr>
        <w:rFonts w:hint="default"/>
        <w:lang w:val="en-GB" w:eastAsia="en-GB" w:bidi="en-GB"/>
      </w:rPr>
    </w:lvl>
    <w:lvl w:ilvl="5" w:tplc="9A8A22F4">
      <w:numFmt w:val="bullet"/>
      <w:lvlText w:val="•"/>
      <w:lvlJc w:val="left"/>
      <w:pPr>
        <w:ind w:left="4746" w:hanging="221"/>
      </w:pPr>
      <w:rPr>
        <w:rFonts w:hint="default"/>
        <w:lang w:val="en-GB" w:eastAsia="en-GB" w:bidi="en-GB"/>
      </w:rPr>
    </w:lvl>
    <w:lvl w:ilvl="6" w:tplc="494692D2">
      <w:numFmt w:val="bullet"/>
      <w:lvlText w:val="•"/>
      <w:lvlJc w:val="left"/>
      <w:pPr>
        <w:ind w:left="5658" w:hanging="221"/>
      </w:pPr>
      <w:rPr>
        <w:rFonts w:hint="default"/>
        <w:lang w:val="en-GB" w:eastAsia="en-GB" w:bidi="en-GB"/>
      </w:rPr>
    </w:lvl>
    <w:lvl w:ilvl="7" w:tplc="2AEE328C">
      <w:numFmt w:val="bullet"/>
      <w:lvlText w:val="•"/>
      <w:lvlJc w:val="left"/>
      <w:pPr>
        <w:ind w:left="6569" w:hanging="221"/>
      </w:pPr>
      <w:rPr>
        <w:rFonts w:hint="default"/>
        <w:lang w:val="en-GB" w:eastAsia="en-GB" w:bidi="en-GB"/>
      </w:rPr>
    </w:lvl>
    <w:lvl w:ilvl="8" w:tplc="85FCBE60">
      <w:numFmt w:val="bullet"/>
      <w:lvlText w:val="•"/>
      <w:lvlJc w:val="left"/>
      <w:pPr>
        <w:ind w:left="7481" w:hanging="221"/>
      </w:pPr>
      <w:rPr>
        <w:rFonts w:hint="default"/>
        <w:lang w:val="en-GB" w:eastAsia="en-GB" w:bidi="en-GB"/>
      </w:rPr>
    </w:lvl>
  </w:abstractNum>
  <w:abstractNum w:abstractNumId="1" w15:restartNumberingAfterBreak="0">
    <w:nsid w:val="68C46E6E"/>
    <w:multiLevelType w:val="hybridMultilevel"/>
    <w:tmpl w:val="89920810"/>
    <w:lvl w:ilvl="0" w:tplc="96387114">
      <w:numFmt w:val="bullet"/>
      <w:lvlText w:val="•"/>
      <w:lvlJc w:val="left"/>
      <w:pPr>
        <w:ind w:left="160" w:hanging="139"/>
      </w:pPr>
      <w:rPr>
        <w:rFonts w:ascii="Arial" w:eastAsia="Arial" w:hAnsi="Arial" w:cs="Arial" w:hint="default"/>
        <w:w w:val="99"/>
        <w:sz w:val="22"/>
        <w:szCs w:val="22"/>
        <w:lang w:val="en-GB" w:eastAsia="en-GB" w:bidi="en-GB"/>
      </w:rPr>
    </w:lvl>
    <w:lvl w:ilvl="1" w:tplc="7AE659BC">
      <w:numFmt w:val="bullet"/>
      <w:lvlText w:val="•"/>
      <w:lvlJc w:val="left"/>
      <w:pPr>
        <w:ind w:left="1074" w:hanging="139"/>
      </w:pPr>
      <w:rPr>
        <w:rFonts w:hint="default"/>
        <w:lang w:val="en-GB" w:eastAsia="en-GB" w:bidi="en-GB"/>
      </w:rPr>
    </w:lvl>
    <w:lvl w:ilvl="2" w:tplc="10562D52">
      <w:numFmt w:val="bullet"/>
      <w:lvlText w:val="•"/>
      <w:lvlJc w:val="left"/>
      <w:pPr>
        <w:ind w:left="1988" w:hanging="139"/>
      </w:pPr>
      <w:rPr>
        <w:rFonts w:hint="default"/>
        <w:lang w:val="en-GB" w:eastAsia="en-GB" w:bidi="en-GB"/>
      </w:rPr>
    </w:lvl>
    <w:lvl w:ilvl="3" w:tplc="23EA3AB4">
      <w:numFmt w:val="bullet"/>
      <w:lvlText w:val="•"/>
      <w:lvlJc w:val="left"/>
      <w:pPr>
        <w:ind w:left="2903" w:hanging="139"/>
      </w:pPr>
      <w:rPr>
        <w:rFonts w:hint="default"/>
        <w:lang w:val="en-GB" w:eastAsia="en-GB" w:bidi="en-GB"/>
      </w:rPr>
    </w:lvl>
    <w:lvl w:ilvl="4" w:tplc="85E63886">
      <w:numFmt w:val="bullet"/>
      <w:lvlText w:val="•"/>
      <w:lvlJc w:val="left"/>
      <w:pPr>
        <w:ind w:left="3817" w:hanging="139"/>
      </w:pPr>
      <w:rPr>
        <w:rFonts w:hint="default"/>
        <w:lang w:val="en-GB" w:eastAsia="en-GB" w:bidi="en-GB"/>
      </w:rPr>
    </w:lvl>
    <w:lvl w:ilvl="5" w:tplc="D26C166C">
      <w:numFmt w:val="bullet"/>
      <w:lvlText w:val="•"/>
      <w:lvlJc w:val="left"/>
      <w:pPr>
        <w:ind w:left="4732" w:hanging="139"/>
      </w:pPr>
      <w:rPr>
        <w:rFonts w:hint="default"/>
        <w:lang w:val="en-GB" w:eastAsia="en-GB" w:bidi="en-GB"/>
      </w:rPr>
    </w:lvl>
    <w:lvl w:ilvl="6" w:tplc="B3D6B216">
      <w:numFmt w:val="bullet"/>
      <w:lvlText w:val="•"/>
      <w:lvlJc w:val="left"/>
      <w:pPr>
        <w:ind w:left="5646" w:hanging="139"/>
      </w:pPr>
      <w:rPr>
        <w:rFonts w:hint="default"/>
        <w:lang w:val="en-GB" w:eastAsia="en-GB" w:bidi="en-GB"/>
      </w:rPr>
    </w:lvl>
    <w:lvl w:ilvl="7" w:tplc="93A0CE1A">
      <w:numFmt w:val="bullet"/>
      <w:lvlText w:val="•"/>
      <w:lvlJc w:val="left"/>
      <w:pPr>
        <w:ind w:left="6561" w:hanging="139"/>
      </w:pPr>
      <w:rPr>
        <w:rFonts w:hint="default"/>
        <w:lang w:val="en-GB" w:eastAsia="en-GB" w:bidi="en-GB"/>
      </w:rPr>
    </w:lvl>
    <w:lvl w:ilvl="8" w:tplc="33CA1440">
      <w:numFmt w:val="bullet"/>
      <w:lvlText w:val="•"/>
      <w:lvlJc w:val="left"/>
      <w:pPr>
        <w:ind w:left="7475" w:hanging="139"/>
      </w:pPr>
      <w:rPr>
        <w:rFonts w:hint="default"/>
        <w:lang w:val="en-GB" w:eastAsia="en-GB" w:bidi="en-GB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7B9C"/>
    <w:rsid w:val="00027832"/>
    <w:rsid w:val="00212CFF"/>
    <w:rsid w:val="00282531"/>
    <w:rsid w:val="00453664"/>
    <w:rsid w:val="00877B9C"/>
    <w:rsid w:val="00A665AA"/>
    <w:rsid w:val="00C64CEA"/>
    <w:rsid w:val="00C913E4"/>
    <w:rsid w:val="00E2314E"/>
    <w:rsid w:val="00E95B84"/>
    <w:rsid w:val="00FD3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2ABD56"/>
  <w15:docId w15:val="{3BFFBF3E-C1F4-4C50-AC53-1F99B2FBC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en-GB" w:eastAsia="en-GB" w:bidi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60"/>
    </w:pPr>
  </w:style>
  <w:style w:type="paragraph" w:styleId="ListParagraph">
    <w:name w:val="List Paragraph"/>
    <w:basedOn w:val="Normal"/>
    <w:uiPriority w:val="1"/>
    <w:qFormat/>
    <w:pPr>
      <w:ind w:left="160"/>
    </w:pPr>
  </w:style>
  <w:style w:type="paragraph" w:customStyle="1" w:styleId="TableParagraph">
    <w:name w:val="Table Paragraph"/>
    <w:basedOn w:val="Normal"/>
    <w:uiPriority w:val="1"/>
    <w:qFormat/>
    <w:pPr>
      <w:spacing w:before="115"/>
      <w:ind w:left="50"/>
    </w:pPr>
  </w:style>
  <w:style w:type="paragraph" w:customStyle="1" w:styleId="FrameContents">
    <w:name w:val="Frame Contents"/>
    <w:basedOn w:val="Normal"/>
    <w:qFormat/>
    <w:rsid w:val="00027832"/>
    <w:pPr>
      <w:widowControl/>
      <w:suppressAutoHyphens/>
      <w:autoSpaceDE/>
      <w:autoSpaceDN/>
    </w:pPr>
    <w:rPr>
      <w:rFonts w:ascii="Times New Roman" w:eastAsia="Times New Roman" w:hAnsi="Times New Roman" w:cs="Times New Roman"/>
      <w:sz w:val="24"/>
      <w:szCs w:val="24"/>
      <w:lang w:eastAsia="en-US" w:bidi="ar-SA"/>
    </w:rPr>
  </w:style>
  <w:style w:type="table" w:styleId="TableGrid">
    <w:name w:val="Table Grid"/>
    <w:basedOn w:val="TableNormal"/>
    <w:rsid w:val="00027832"/>
    <w:pPr>
      <w:widowControl/>
      <w:suppressAutoHyphens/>
      <w:autoSpaceDE/>
      <w:autoSpaceDN/>
    </w:pPr>
    <w:rPr>
      <w:rFonts w:ascii="Times New Roman" w:eastAsia="Times New Roman" w:hAnsi="Times New Roman" w:cs="Times New Roman"/>
      <w:sz w:val="24"/>
      <w:szCs w:val="24"/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8253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82531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825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854</Words>
  <Characters>4872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8 Improving Population Health</vt:lpstr>
    </vt:vector>
  </TitlesOfParts>
  <Company/>
  <LinksUpToDate>false</LinksUpToDate>
  <CharactersWithSpaces>5715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8 Improving Population Health</dc:title>
  <dc:creator>badrishanthi</dc:creator>
  <cp:lastModifiedBy>Editors</cp:lastModifiedBy>
  <cp:revision>5</cp:revision>
  <dcterms:created xsi:type="dcterms:W3CDTF">2022-07-08T08:38:00Z</dcterms:created>
  <dcterms:modified xsi:type="dcterms:W3CDTF">2023-11-16T13:13:00Z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2012-07-09T00:00:00Z</vt:filetime>
  </property>
  <property fmtid="{D5CDD505-2E9C-101B-9397-08002B2CF9AE}" pid="3" name="Creator">
    <vt:lpwstr>Acrobat PDFMaker 10.1 for Word</vt:lpwstr>
  </property>
  <property fmtid="{D5CDD505-2E9C-101B-9397-08002B2CF9AE}" pid="4" name="LastSaved">
    <vt:filetime>2022-07-08T00:00:00Z</vt:filetime>
  </property>
</Properties>
</file>