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20" w:rsidRPr="00EF4C20" w:rsidRDefault="00EF4C20" w:rsidP="008602D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</w:pPr>
      <w:r w:rsidRPr="00EF4C20"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  <w:t>Chapter 10</w:t>
      </w: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EF4C20" w:rsidRPr="002E48A1" w:rsidRDefault="00172E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Guiral, M.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Giudici-Orticoni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M.-T. (2021). Microbe Profile: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Aquifex aeolicus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: an extreme heat-loving bacterium that feeds on gases and inorganic chemicals.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167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001010.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172E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https://doi.org/10.1099/mic.0.001010</w:t>
        </w:r>
      </w:hyperlink>
    </w:p>
    <w:p w:rsidR="008602DC" w:rsidRDefault="009241B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Hoffmann, T.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241B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Bacteria-induced mineral precipitation: a mechanistic review. </w:t>
      </w:r>
      <w:r w:rsidRPr="009241B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241B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167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001049.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8" w:history="1">
        <w:r w:rsidRPr="009241B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https://doi.org/10.1099/mic.0.001049</w:t>
        </w:r>
      </w:hyperlink>
    </w:p>
    <w:p w:rsidR="008602DC" w:rsidRDefault="00E31B0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Rowe, A.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31B0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l. (2018). 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Tracking electron uptake from a cathode into </w:t>
      </w:r>
      <w:r w:rsidRPr="00E31B0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Shewanella 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cells: Implications for energy acquisition from 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olid-substrate electron donors.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31B0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31B0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9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02203-17.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E31B0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http://mbio.asm.org/content/9/1/e02203-17.abstract</w:t>
        </w:r>
      </w:hyperlink>
    </w:p>
    <w:p w:rsidR="008602DC" w:rsidRDefault="00E31B0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Stom, D. I.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98523F" w:rsidRPr="009852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Acidophilic 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icroorganisms </w:t>
      </w:r>
      <w:r w:rsidRPr="009852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Leptospirillum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sp., </w:t>
      </w:r>
      <w:r w:rsidRPr="009852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Acidithiobacillus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sp., </w:t>
      </w:r>
      <w:r w:rsidRPr="009852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Ferroplasma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sp. 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 a 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athodic 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bioagents in a MFC.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52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Geomicrobiology Journal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31B0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38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31B0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340-346.</w:t>
      </w:r>
      <w:r w:rsid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="0098523F" w:rsidRPr="0098523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https://doi.org/10.1080/01490451.2020.1856980</w:t>
        </w:r>
      </w:hyperlink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4277A" w:rsidRPr="002E48A1" w:rsidRDefault="0054277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Reverse electron transport</w:t>
      </w:r>
    </w:p>
    <w:p w:rsid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A301BF" w:rsidRPr="00EF4C20" w:rsidRDefault="00A301BF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Nitrification</w:t>
      </w:r>
    </w:p>
    <w:p w:rsidR="00EF4C20" w:rsidRDefault="007D7D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Bhattacharya,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Mazumder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(2021). Simultaneous nitrification and denitrification in moving bed bioreactor and other biological systems. 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Bioprocess </w:t>
      </w:r>
      <w:r w:rsidR="00865B5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Biosystems Engineering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635-652.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7D7D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https://doi.org/10.1007/s00449-020-02475-6</w:t>
        </w:r>
      </w:hyperlink>
    </w:p>
    <w:p w:rsidR="00EF4C20" w:rsidRDefault="007D7D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>Cui,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u w:val="single"/>
        </w:rPr>
        <w:t xml:space="preserve">et 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 novel halophilic </w:t>
      </w:r>
      <w:r w:rsidRPr="007D7D4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Exiguobacterium mexicanum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removes nitrogen from saline wastewater via heterotrophic nitrificati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on and aerobic denitrification.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333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125189.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7D7D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https://doi.org/10.1016/j.biortech.2021.125189</w:t>
        </w:r>
      </w:hyperlink>
    </w:p>
    <w:p w:rsidR="008602DC" w:rsidRDefault="007D7D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Garrido-Amador,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>Learning from microorganisms: using new insights in microbial physiology for sustainable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nitrogen management.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Biotechnology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67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42-48.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7D7D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https://doi.org/10.1016/j.copbio.2020.12.017</w:t>
        </w:r>
      </w:hyperlink>
    </w:p>
    <w:p w:rsidR="008602DC" w:rsidRDefault="007D7D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>Han,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N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>O and NO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y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production by the comammox bacterium </w:t>
      </w:r>
      <w:r w:rsidRPr="007D7D4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Nitrospira inopinata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comparison with canonical ammonia oxidizers. </w:t>
      </w:r>
      <w:r w:rsidRPr="007D7D4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116728.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7D7D4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http://www.sciencedirect.com/science/article/pii/S0043135420312616</w:t>
        </w:r>
      </w:hyperlink>
    </w:p>
    <w:p w:rsidR="008602DC" w:rsidRDefault="007D7D4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>Hu, J.</w:t>
      </w:r>
      <w:r w:rsid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1807F4"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1807F4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Isolated heterotrophic nitrifying and aerobic denitrifying bacterium for treating actual refinery</w:t>
      </w:r>
      <w:r w:rsid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wastewater with low C/N ratio.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Journal of Bioscience </w:t>
      </w:r>
      <w:r w:rsid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7D4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132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 w:rsidR="001807F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7D4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41-48.</w:t>
      </w:r>
      <w:r w:rsid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="001807F4" w:rsidRPr="001807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https://doi.org/10.1016/j.jbiosc.2021.03.012</w:t>
        </w:r>
      </w:hyperlink>
    </w:p>
    <w:p w:rsidR="008602DC" w:rsidRDefault="001807F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>Soler-Jofra,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Hydroxylamine and the nitrogen cycle: A review. 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07F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116723.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1807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https://doi.org/10.1016/j.watres.2020.116723</w:t>
        </w:r>
      </w:hyperlink>
    </w:p>
    <w:p w:rsidR="008602DC" w:rsidRDefault="001807F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>Vijayan,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1807F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Nitrospira 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as versatile nitrifiers: Taxonomy, ecophysiology, genome characteristics, growth, and metabolic diversity. 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07F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88-109.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1807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https://doi.org/10.1002/jobm.202000485</w:t>
        </w:r>
      </w:hyperlink>
    </w:p>
    <w:p w:rsidR="008602DC" w:rsidRDefault="001807F4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>Ward, L.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Phanerozoic radiation of ammonia oxidizing bacteria. </w:t>
      </w:r>
      <w:r w:rsidRPr="001807F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807F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807F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2070.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1807F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https://doi.org/10.1038/s41598-021-81718-2</w:t>
        </w:r>
      </w:hyperlink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02DC" w:rsidRPr="00EF4C20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Colourless sulfur bacteria</w:t>
      </w:r>
    </w:p>
    <w:p w:rsidR="00EF4C20" w:rsidRDefault="00172E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72E0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Dam, A.-S.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72E0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Effect of salinity on cable bacteria species composition and diversity. </w:t>
      </w:r>
      <w:r w:rsidRPr="00172E0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172E0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172E0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72E0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2605-2616.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9" w:history="1">
        <w:r w:rsidRPr="00172E0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https://doi.org/10.1111/1462-2920.15484</w:t>
        </w:r>
      </w:hyperlink>
    </w:p>
    <w:p w:rsidR="00DB0EA6" w:rsidRDefault="00172E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Hart, C.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Gorman-Lewis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D. (2021). Energetics of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Acidianus ambivalens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growth in response to oxygen availability.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Geobiology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19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48-62.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Pr="00172E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https://doi.org/10.1111/gbi.12413</w:t>
        </w:r>
      </w:hyperlink>
    </w:p>
    <w:p w:rsidR="008602DC" w:rsidRDefault="00172E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Henkel, J. V.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Candidatus 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Sulfurimonas marisnigri sp. nov. and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Candidatus 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Sulfurimonas baltica sp. nov., thiotrophic manganese oxide reducing chemolithoautotrophs of the class Campylobacteria isolated from the pelagic redoxclines of the Black Sea and the Baltic Sea.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Systematic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Applied Microbiology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44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126155.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1" w:history="1">
        <w:r w:rsidRPr="00172E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https://doi.org/10.1016/j.syapm.2020.126155</w:t>
        </w:r>
      </w:hyperlink>
    </w:p>
    <w:p w:rsidR="008602DC" w:rsidRDefault="00172E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Liu,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Cable bacteria extend the impacts of elevated dissolved oxygen into anoxic sediments. </w:t>
      </w:r>
      <w:r w:rsidRPr="00172E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The ISME Journal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72E0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15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72E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1551-1563.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2" w:history="1">
        <w:r w:rsidRPr="00172E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https://doi.org/10.1038/s41396-020-00869-8</w:t>
        </w:r>
      </w:hyperlink>
    </w:p>
    <w:p w:rsidR="008602DC" w:rsidRDefault="00A37D6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Liu, Z.-X.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Transcriptional response of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Thialkalivibrio versutus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D301 to different sulfur sources and identification of the sulfur oxidation pathways.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Biotechnology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329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160-169.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3" w:history="1">
        <w:r w:rsidRPr="00A37D6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https://doi.org/10.1016/j.jbiotec.2021.02.003</w:t>
        </w:r>
      </w:hyperlink>
    </w:p>
    <w:p w:rsidR="008602DC" w:rsidRDefault="00A37D6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Paredes, G.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Anaerobic sulfur oxidation underlies adaptation of a chemosynthetic symb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iont to oxic-anoxic interfaces.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e01186-20.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4" w:history="1">
        <w:r w:rsidRPr="00A37D6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https://journals.asm.org/doi/abs/10.1128/mSystems.01186-20</w:t>
        </w:r>
      </w:hyperlink>
    </w:p>
    <w:p w:rsidR="008602DC" w:rsidRDefault="00A37D6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Vainshtein, M.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Delegan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Y. (2021). Intracellular sulfur inclusio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ns: Source of energy or heater?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Current Microbiology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78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2471-2473.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5" w:history="1">
        <w:r w:rsidRPr="00A37D6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https://doi.org/10.1007/s00284-021-02524-7</w:t>
        </w:r>
      </w:hyperlink>
    </w:p>
    <w:p w:rsidR="00A37D62" w:rsidRDefault="00A37D62" w:rsidP="00A37D62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Xie,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Sulfurovum indicum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sp. nov., a novel hydrogen- and sulfur-oxidizing chemolithoautotroph isolated from a deep-sea hydrothermal plume in the Northwestern Indian Ocean. 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International Journal of Systematic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A37D6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Evolutionary Microbiology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A37D6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71</w:t>
      </w:r>
      <w:r w:rsidRPr="00A37D6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004748. </w:t>
      </w:r>
      <w:hyperlink r:id="rId26" w:history="1">
        <w:r w:rsidRPr="00A37D6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https://doi.org/10.1099/ijsem.0.004748</w:t>
        </w:r>
      </w:hyperlink>
    </w:p>
    <w:p w:rsidR="008602DC" w:rsidRDefault="007A7C1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Yuan,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Centimeter-long microbial electron transport for bioremediation applications.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Trends in Biotechnology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A7C1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39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181-193.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7A7C1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https://doi.org/10.1016/j.tibtech.2020.06.011</w:t>
        </w:r>
      </w:hyperlink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1224D" w:rsidRPr="00A1224D" w:rsidRDefault="00A1224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Ferrous iron and other metal oxides</w:t>
      </w:r>
    </w:p>
    <w:p w:rsidR="00B915C6" w:rsidRDefault="00533DE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bookmarkStart w:id="0" w:name="_GoBack"/>
      <w:bookmarkEnd w:id="0"/>
      <w:r w:rsidRPr="008418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Blake, R.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41803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841803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8418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8418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Homogeneous cytochrome 579 is an octamer that reacts too slowly with soluble iron to be the initial iron oxidase in the respiratory chain of </w:t>
      </w:r>
      <w:r w:rsidRPr="008418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Leptospirillum ferriphilum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418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418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8418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4180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1086</w:t>
      </w:r>
      <w:r w:rsidRPr="008418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84180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https://www.frontiersin.org/article/10.3389/fmicb.2021.673066</w:t>
        </w:r>
      </w:hyperlink>
    </w:p>
    <w:p w:rsidR="007A7C1F" w:rsidRPr="007A7C1F" w:rsidRDefault="007A7C1F" w:rsidP="007A7C1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Henkel, J. V.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Candidatus 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Sulfurimonas marisnigri sp. nov. and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Candidatus 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Sulfurimonas baltica sp. nov., thiotrophic manganese oxide reducing chemolithoautotrophs of the class Campylobacteria isolated from the pelagic redoxclines of the Black Sea and the Baltic Sea.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Systematic &amp; Applied Microbiology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A7C1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44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(1), 126155. </w:t>
      </w:r>
      <w:hyperlink r:id="rId29" w:history="1">
        <w:r w:rsidRPr="007A7C1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https://doi.org/10.1016/j.syapm.2020.126155</w:t>
        </w:r>
      </w:hyperlink>
    </w:p>
    <w:p w:rsidR="009241BF" w:rsidRPr="009241BF" w:rsidRDefault="009241BF" w:rsidP="009241B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Jain, A. &amp; Gralnick, J. A. (2021). Engineering lithoheterotrophy in an obligate chemolithoautotrophic Fe(II) oxidizing bacterium. </w:t>
      </w:r>
      <w:r w:rsidRPr="009241B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241B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(1), 2165.</w:t>
      </w:r>
      <w:r w:rsidR="00E822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0" w:history="1">
        <w:r w:rsidR="00E8220E" w:rsidRPr="00E822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https://doi.org/10.1038/s41598-021-81412-3</w:t>
        </w:r>
      </w:hyperlink>
    </w:p>
    <w:p w:rsidR="008602DC" w:rsidRDefault="009241B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Kappler, A.</w:t>
      </w:r>
      <w:r w:rsidR="00BE14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BE1429" w:rsidRPr="00BE14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BE14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An evolving view on </w:t>
      </w:r>
      <w:r w:rsidR="00BE14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biogeochemical cycling of iron.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BE14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Nature Reviews Microbiology </w:t>
      </w:r>
      <w:r w:rsidRPr="009241B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19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 w:rsidR="00BE14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241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360-374.</w:t>
      </w:r>
      <w:r w:rsidR="00BE14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1" w:history="1">
        <w:r w:rsidR="00BE1429" w:rsidRPr="00BE142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https://doi.org/10.1038/s41579-020-00502-7</w:t>
        </w:r>
      </w:hyperlink>
    </w:p>
    <w:p w:rsidR="008602DC" w:rsidRDefault="0098523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Zhang,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52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Bacteria responsible for antimonite oxidation in antimony-contaminated soil revealed by DNA-SIP coupled to metagenomics. </w:t>
      </w:r>
      <w:r w:rsidRPr="00E8220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FEMS Microbiology Ecology</w:t>
      </w:r>
      <w:r w:rsidRP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8523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97</w:t>
      </w:r>
      <w:r w:rsidRP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 w:rsidR="00E822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fiab057</w:t>
      </w:r>
      <w:r w:rsidRPr="009852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="00E8220E" w:rsidRPr="00E8220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2" w:history="1">
        <w:r w:rsidR="00E8220E" w:rsidRPr="00E8220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https://doi.org/10.1093/femsec/fiab057</w:t>
        </w:r>
      </w:hyperlink>
    </w:p>
    <w:p w:rsidR="008602DC" w:rsidRPr="0054277A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57E5D" w:rsidRPr="0054277A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Hydrogen oxidizers and carboxydobacteria</w:t>
      </w:r>
    </w:p>
    <w:p w:rsidR="00A1224D" w:rsidRDefault="00533DE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>Giguere, A.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D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>Acidobacteria are active and abundant members of diverse atmospheric H2-oxidizing communiti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es detected in temperate soils.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D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D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363-376.</w:t>
      </w:r>
      <w:r w:rsidRPr="00533DE1">
        <w:rPr>
          <w:rFonts w:ascii="Segoe UI" w:hAnsi="Segoe UI" w:cs="Segoe UI"/>
          <w:kern w:val="0"/>
          <w:sz w:val="18"/>
          <w:szCs w:val="18"/>
        </w:rPr>
        <w:t xml:space="preserve"> </w:t>
      </w:r>
      <w:hyperlink r:id="rId33" w:history="1">
        <w:r w:rsidRPr="00533D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https://doi.org/10.1038/s41396-020-00750-8</w:t>
        </w:r>
      </w:hyperlink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</w:p>
    <w:p w:rsidR="007A7C1F" w:rsidRPr="007A7C1F" w:rsidRDefault="007A7C1F" w:rsidP="007A7C1F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Xie, S.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(2021).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Sulfurovum indicum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sp. nov., a novel hydrogen- and sulfur-oxidizing chemolithoautotroph isolated from a deep-sea hydrothermal plume in the Northwestern Indian Ocean. </w:t>
      </w:r>
      <w:r w:rsidRPr="007A7C1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International Journal of Systematic &amp; Evolutionary Microbiology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A7C1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71</w:t>
      </w:r>
      <w:r w:rsidRPr="007A7C1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(3), 004748. </w:t>
      </w:r>
      <w:hyperlink r:id="rId34" w:history="1">
        <w:r w:rsidRPr="007A7C1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https://doi.org/10.1099/ijsem.0.004748</w:t>
        </w:r>
      </w:hyperlink>
    </w:p>
    <w:p w:rsidR="008602DC" w:rsidRPr="007A7C1F" w:rsidRDefault="00E31B02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1B02">
        <w:rPr>
          <w:rFonts w:ascii="Times New Roman" w:eastAsia="맑은 고딕" w:hAnsi="Times New Roman" w:cs="Times New Roman"/>
          <w:kern w:val="0"/>
          <w:sz w:val="24"/>
          <w:szCs w:val="24"/>
        </w:rPr>
        <w:t>Mino,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1B0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E31B0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Hydrogenimonas urashimensis</w:t>
      </w:r>
      <w:r w:rsidRPr="00E31B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a hydrogen-oxidizing chemolithoautotroph isolated from a deep-sea hydrothermal vent in the Southern Mariana Trough. </w:t>
      </w:r>
      <w:r w:rsidRPr="00E31B0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31B0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Applied Microbiology</w:t>
      </w:r>
      <w:r w:rsidRPr="00E31B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1B0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44</w:t>
      </w:r>
      <w:r w:rsidRPr="00E31B0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1B0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126170.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E31B0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https://doi.org/10.1016/j.syapm.2020.126170</w:t>
        </w:r>
      </w:hyperlink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Other inorganic electron donors</w:t>
      </w:r>
    </w:p>
    <w:p w:rsidR="00857E5D" w:rsidRDefault="0084180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41803">
        <w:rPr>
          <w:rFonts w:ascii="Times New Roman" w:eastAsia="맑은 고딕" w:hAnsi="Times New Roman" w:cs="Times New Roman"/>
          <w:kern w:val="0"/>
          <w:sz w:val="24"/>
          <w:szCs w:val="24"/>
        </w:rPr>
        <w:t>Ewens, S.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4180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418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diversity and evolution of microbial dissimilatory phosphite oxidation. </w:t>
      </w:r>
      <w:r w:rsidRPr="0084180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8418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4180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841803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4180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e2020024118.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84180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https://www.pnas.org/content/pnas/118/11/e2020024118.full.pdf</w:t>
        </w:r>
      </w:hyperlink>
    </w:p>
    <w:p w:rsidR="0097698A" w:rsidRDefault="00533DE1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Garrison, C. E.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Field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E. K. (2020). Introducing a “core steel microbiome” and community functional analysis associated with microbially influenced corrosion. </w:t>
      </w:r>
      <w:r w:rsidRPr="00533D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3D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97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3D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fiaa237.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533D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https://doi.org/10.1093/femsec/fiaa237</w:t>
        </w:r>
      </w:hyperlink>
    </w:p>
    <w:p w:rsidR="008602DC" w:rsidRPr="0097698A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fixation</w:t>
      </w: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Calvin cycle</w:t>
      </w:r>
    </w:p>
    <w:p w:rsidR="00857E5D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8220E" w:rsidRPr="00EF4C20" w:rsidRDefault="00E822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Reductive TCA cycle</w:t>
      </w:r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Acetyl-CoA pathway</w:t>
      </w:r>
    </w:p>
    <w:p w:rsidR="00F4715F" w:rsidRDefault="00F4715F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3-hydroxypropionate cycle </w:t>
      </w:r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E0DE7" w:rsidRPr="006E0DE7" w:rsidRDefault="006E0DE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4-hydroxybutyrate cycles</w:t>
      </w:r>
    </w:p>
    <w:p w:rsidR="008602DC" w:rsidRDefault="008602DC" w:rsidP="00EF4C20">
      <w:pPr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</w:p>
    <w:sectPr w:rsidR="008602D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69" w:rsidRDefault="001C7169" w:rsidP="002E48A1">
      <w:pPr>
        <w:spacing w:after="0" w:line="240" w:lineRule="auto"/>
      </w:pPr>
      <w:r>
        <w:separator/>
      </w:r>
    </w:p>
  </w:endnote>
  <w:endnote w:type="continuationSeparator" w:id="0">
    <w:p w:rsidR="001C7169" w:rsidRDefault="001C7169" w:rsidP="002E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69" w:rsidRDefault="001C7169" w:rsidP="002E48A1">
      <w:pPr>
        <w:spacing w:after="0" w:line="240" w:lineRule="auto"/>
      </w:pPr>
      <w:r>
        <w:separator/>
      </w:r>
    </w:p>
  </w:footnote>
  <w:footnote w:type="continuationSeparator" w:id="0">
    <w:p w:rsidR="001C7169" w:rsidRDefault="001C7169" w:rsidP="002E4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20"/>
    <w:rsid w:val="000051BB"/>
    <w:rsid w:val="00043564"/>
    <w:rsid w:val="00113378"/>
    <w:rsid w:val="00153ECF"/>
    <w:rsid w:val="00156E82"/>
    <w:rsid w:val="00172E0E"/>
    <w:rsid w:val="001807F4"/>
    <w:rsid w:val="001906E8"/>
    <w:rsid w:val="001C7169"/>
    <w:rsid w:val="0020355E"/>
    <w:rsid w:val="00221AB0"/>
    <w:rsid w:val="0024102E"/>
    <w:rsid w:val="0025206C"/>
    <w:rsid w:val="002E48A1"/>
    <w:rsid w:val="003A4F83"/>
    <w:rsid w:val="003E3D41"/>
    <w:rsid w:val="003F69C9"/>
    <w:rsid w:val="0046711F"/>
    <w:rsid w:val="004C56FD"/>
    <w:rsid w:val="00533DE1"/>
    <w:rsid w:val="0054277A"/>
    <w:rsid w:val="00552995"/>
    <w:rsid w:val="00596D7D"/>
    <w:rsid w:val="00610948"/>
    <w:rsid w:val="006C70E0"/>
    <w:rsid w:val="006E0DE7"/>
    <w:rsid w:val="007107E6"/>
    <w:rsid w:val="00761049"/>
    <w:rsid w:val="007A7C1F"/>
    <w:rsid w:val="007B68B5"/>
    <w:rsid w:val="007D7D41"/>
    <w:rsid w:val="00801787"/>
    <w:rsid w:val="008102D8"/>
    <w:rsid w:val="00841803"/>
    <w:rsid w:val="008476A6"/>
    <w:rsid w:val="00857473"/>
    <w:rsid w:val="00857E5D"/>
    <w:rsid w:val="008602DC"/>
    <w:rsid w:val="00865B5E"/>
    <w:rsid w:val="009241BF"/>
    <w:rsid w:val="009713EA"/>
    <w:rsid w:val="0097698A"/>
    <w:rsid w:val="0098523F"/>
    <w:rsid w:val="009A3438"/>
    <w:rsid w:val="009A5A93"/>
    <w:rsid w:val="00A1224D"/>
    <w:rsid w:val="00A301BF"/>
    <w:rsid w:val="00A37D62"/>
    <w:rsid w:val="00AA3EA1"/>
    <w:rsid w:val="00B915C6"/>
    <w:rsid w:val="00BE1429"/>
    <w:rsid w:val="00CB1C48"/>
    <w:rsid w:val="00D00248"/>
    <w:rsid w:val="00D15A18"/>
    <w:rsid w:val="00D71086"/>
    <w:rsid w:val="00D90676"/>
    <w:rsid w:val="00DA796A"/>
    <w:rsid w:val="00DB0EA6"/>
    <w:rsid w:val="00E17A1A"/>
    <w:rsid w:val="00E31B02"/>
    <w:rsid w:val="00E51DDA"/>
    <w:rsid w:val="00E63046"/>
    <w:rsid w:val="00E8220E"/>
    <w:rsid w:val="00EB3C1A"/>
    <w:rsid w:val="00ED1C9C"/>
    <w:rsid w:val="00EF4C20"/>
    <w:rsid w:val="00F4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FE92C0-40A5-4942-BCB7-4BF55104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1F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F4C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F4C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F4C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F4C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F4C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F4C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F4C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F4C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F4C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F4C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F4C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F4C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F4C20"/>
  </w:style>
  <w:style w:type="paragraph" w:customStyle="1" w:styleId="Style7">
    <w:name w:val="Style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F4C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F4C20"/>
  </w:style>
  <w:style w:type="paragraph" w:customStyle="1" w:styleId="Author">
    <w:name w:val="Author"/>
    <w:basedOn w:val="a0"/>
    <w:rsid w:val="00EF4C20"/>
    <w:rPr>
      <w:sz w:val="26"/>
    </w:rPr>
  </w:style>
  <w:style w:type="paragraph" w:customStyle="1" w:styleId="Editor">
    <w:name w:val="Editor"/>
    <w:basedOn w:val="a0"/>
    <w:rsid w:val="00EF4C20"/>
    <w:rPr>
      <w:sz w:val="26"/>
    </w:rPr>
  </w:style>
  <w:style w:type="paragraph" w:customStyle="1" w:styleId="Edition">
    <w:name w:val="Edition"/>
    <w:basedOn w:val="a0"/>
    <w:rsid w:val="00EF4C20"/>
  </w:style>
  <w:style w:type="paragraph" w:customStyle="1" w:styleId="Dedication">
    <w:name w:val="Dedication"/>
    <w:basedOn w:val="a0"/>
    <w:rsid w:val="00EF4C20"/>
  </w:style>
  <w:style w:type="paragraph" w:customStyle="1" w:styleId="Half-title">
    <w:name w:val="Half-title"/>
    <w:basedOn w:val="a0"/>
    <w:rsid w:val="00EF4C20"/>
  </w:style>
  <w:style w:type="paragraph" w:customStyle="1" w:styleId="Copyright">
    <w:name w:val="Copyright"/>
    <w:basedOn w:val="a0"/>
    <w:rsid w:val="00EF4C20"/>
  </w:style>
  <w:style w:type="paragraph" w:customStyle="1" w:styleId="LOC">
    <w:name w:val="LOC"/>
    <w:basedOn w:val="a0"/>
    <w:rsid w:val="00EF4C20"/>
  </w:style>
  <w:style w:type="paragraph" w:customStyle="1" w:styleId="Publisher">
    <w:name w:val="Publisher"/>
    <w:basedOn w:val="a0"/>
    <w:rsid w:val="00EF4C20"/>
  </w:style>
  <w:style w:type="paragraph" w:styleId="a4">
    <w:name w:val="Subtitle"/>
    <w:basedOn w:val="a0"/>
    <w:link w:val="Char0"/>
    <w:qFormat/>
    <w:rsid w:val="00EF4C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F4C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F4C20"/>
  </w:style>
  <w:style w:type="paragraph" w:customStyle="1" w:styleId="TOCChapter">
    <w:name w:val="TOCChapter"/>
    <w:basedOn w:val="a0"/>
    <w:rsid w:val="00EF4C20"/>
  </w:style>
  <w:style w:type="paragraph" w:customStyle="1" w:styleId="TOCpagenumber">
    <w:name w:val="TOCpagenumber"/>
    <w:basedOn w:val="a0"/>
    <w:rsid w:val="00EF4C20"/>
  </w:style>
  <w:style w:type="paragraph" w:customStyle="1" w:styleId="TOCsubchapter">
    <w:name w:val="TOCsubchapter"/>
    <w:basedOn w:val="a0"/>
    <w:rsid w:val="00EF4C20"/>
  </w:style>
  <w:style w:type="paragraph" w:customStyle="1" w:styleId="TOCsubsubchapter">
    <w:name w:val="TOCsubsubchapter"/>
    <w:basedOn w:val="a0"/>
    <w:rsid w:val="00EF4C20"/>
  </w:style>
  <w:style w:type="paragraph" w:customStyle="1" w:styleId="TOCsubsubsubchapter">
    <w:name w:val="TOCsubsubsubchapter"/>
    <w:basedOn w:val="a0"/>
    <w:rsid w:val="00EF4C20"/>
  </w:style>
  <w:style w:type="paragraph" w:styleId="a5">
    <w:name w:val="caption"/>
    <w:basedOn w:val="a0"/>
    <w:qFormat/>
    <w:rsid w:val="00EF4C20"/>
    <w:rPr>
      <w:bCs/>
      <w:szCs w:val="20"/>
    </w:rPr>
  </w:style>
  <w:style w:type="paragraph" w:customStyle="1" w:styleId="Blockquote">
    <w:name w:val="Blockquote"/>
    <w:basedOn w:val="a0"/>
    <w:rsid w:val="00EF4C20"/>
    <w:pPr>
      <w:ind w:left="432" w:right="432"/>
    </w:pPr>
  </w:style>
  <w:style w:type="paragraph" w:customStyle="1" w:styleId="Extract">
    <w:name w:val="Extract"/>
    <w:basedOn w:val="a0"/>
    <w:rsid w:val="00EF4C20"/>
    <w:pPr>
      <w:ind w:left="432" w:right="432"/>
    </w:pPr>
  </w:style>
  <w:style w:type="paragraph" w:customStyle="1" w:styleId="Indentblock">
    <w:name w:val="Indentblock"/>
    <w:basedOn w:val="a0"/>
    <w:rsid w:val="00EF4C20"/>
    <w:pPr>
      <w:ind w:left="432"/>
    </w:pPr>
  </w:style>
  <w:style w:type="paragraph" w:customStyle="1" w:styleId="Indenthanginga">
    <w:name w:val="Indenthanginga"/>
    <w:basedOn w:val="a0"/>
    <w:rsid w:val="00EF4C20"/>
    <w:pPr>
      <w:ind w:left="432" w:hanging="432"/>
    </w:pPr>
  </w:style>
  <w:style w:type="paragraph" w:customStyle="1" w:styleId="Indenthanging1">
    <w:name w:val="Indenthanging1"/>
    <w:basedOn w:val="a0"/>
    <w:rsid w:val="00EF4C20"/>
    <w:pPr>
      <w:ind w:left="190" w:hanging="190"/>
    </w:pPr>
  </w:style>
  <w:style w:type="paragraph" w:customStyle="1" w:styleId="Indenthangingb">
    <w:name w:val="Indenthangingb"/>
    <w:basedOn w:val="a0"/>
    <w:rsid w:val="00EF4C20"/>
    <w:pPr>
      <w:ind w:left="432" w:hanging="432"/>
    </w:pPr>
  </w:style>
  <w:style w:type="paragraph" w:customStyle="1" w:styleId="Table">
    <w:name w:val="Table"/>
    <w:basedOn w:val="a0"/>
    <w:rsid w:val="00EF4C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F4C20"/>
  </w:style>
  <w:style w:type="paragraph" w:customStyle="1" w:styleId="Note">
    <w:name w:val="Note"/>
    <w:basedOn w:val="Table"/>
    <w:rsid w:val="00EF4C20"/>
  </w:style>
  <w:style w:type="paragraph" w:customStyle="1" w:styleId="Sidebar">
    <w:name w:val="Sidebar"/>
    <w:basedOn w:val="Table"/>
    <w:rsid w:val="00EF4C20"/>
  </w:style>
  <w:style w:type="paragraph" w:customStyle="1" w:styleId="Indexmain">
    <w:name w:val="Indexmain"/>
    <w:basedOn w:val="a0"/>
    <w:rsid w:val="00EF4C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F4C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F4C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F4C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F4C20"/>
    <w:rPr>
      <w:rFonts w:ascii="Times New Roman" w:hAnsi="Times New Roman"/>
      <w:b/>
    </w:rPr>
  </w:style>
  <w:style w:type="character" w:customStyle="1" w:styleId="eIta">
    <w:name w:val="eIta"/>
    <w:rsid w:val="00EF4C20"/>
    <w:rPr>
      <w:rFonts w:ascii="Times New Roman" w:hAnsi="Times New Roman"/>
      <w:i/>
    </w:rPr>
  </w:style>
  <w:style w:type="character" w:customStyle="1" w:styleId="eBolIta">
    <w:name w:val="eBolIta"/>
    <w:rsid w:val="00EF4C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F4C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F4C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F4C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F4C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F4C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F4C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F4C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F4C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F4C20"/>
  </w:style>
  <w:style w:type="paragraph" w:customStyle="1" w:styleId="NlTable-H">
    <w:name w:val="NlTable-H"/>
    <w:basedOn w:val="Table-H"/>
    <w:rsid w:val="00EF4C20"/>
  </w:style>
  <w:style w:type="paragraph" w:customStyle="1" w:styleId="Note-H">
    <w:name w:val="Note-H"/>
    <w:basedOn w:val="Table-H"/>
    <w:rsid w:val="00EF4C20"/>
  </w:style>
  <w:style w:type="paragraph" w:customStyle="1" w:styleId="Sidebar-H">
    <w:name w:val="Sidebar-H"/>
    <w:basedOn w:val="Table-H"/>
    <w:rsid w:val="00EF4C20"/>
  </w:style>
  <w:style w:type="paragraph" w:customStyle="1" w:styleId="Poem">
    <w:name w:val="Poem"/>
    <w:basedOn w:val="Extract"/>
    <w:qFormat/>
    <w:rsid w:val="00EF4C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F4C20"/>
    <w:pPr>
      <w:ind w:left="864"/>
    </w:pPr>
  </w:style>
  <w:style w:type="paragraph" w:customStyle="1" w:styleId="indent1">
    <w:name w:val="indent1"/>
    <w:basedOn w:val="a"/>
    <w:next w:val="a0"/>
    <w:qFormat/>
    <w:rsid w:val="00EF4C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F4C20"/>
    <w:rPr>
      <w:color w:val="0000FF"/>
      <w:u w:val="single"/>
    </w:rPr>
  </w:style>
  <w:style w:type="character" w:styleId="a9">
    <w:name w:val="FollowedHyperlink"/>
    <w:uiPriority w:val="99"/>
    <w:rsid w:val="00EF4C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F4C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F4C20"/>
  </w:style>
  <w:style w:type="character" w:customStyle="1" w:styleId="Char">
    <w:name w:val="일반 (웹) Char"/>
    <w:aliases w:val="표준 (웹) Char"/>
    <w:link w:val="a0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F4C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F4C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F4C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F4C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F4C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F4C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F4C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F4C20"/>
  </w:style>
  <w:style w:type="character" w:customStyle="1" w:styleId="maintextleft1">
    <w:name w:val="maintextleft1"/>
    <w:rsid w:val="00EF4C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F4C20"/>
    <w:rPr>
      <w:i/>
      <w:iCs/>
    </w:rPr>
  </w:style>
  <w:style w:type="character" w:styleId="af">
    <w:name w:val="page number"/>
    <w:basedOn w:val="a1"/>
    <w:rsid w:val="00EF4C20"/>
  </w:style>
  <w:style w:type="paragraph" w:styleId="af0">
    <w:name w:val="Revision"/>
    <w:hidden/>
    <w:uiPriority w:val="99"/>
    <w:semiHidden/>
    <w:rsid w:val="00EF4C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F4C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F4C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F4C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F4C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F4C20"/>
  </w:style>
  <w:style w:type="paragraph" w:customStyle="1" w:styleId="MTDisplayEquation">
    <w:name w:val="MTDisplayEquation"/>
    <w:basedOn w:val="a0"/>
    <w:next w:val="a"/>
    <w:link w:val="MTDisplayEquationChar"/>
    <w:rsid w:val="00EF4C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F4C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F4C20"/>
    <w:rPr>
      <w:color w:val="808080"/>
    </w:rPr>
  </w:style>
  <w:style w:type="paragraph" w:customStyle="1" w:styleId="TableRight">
    <w:name w:val="Table +  Right"/>
    <w:basedOn w:val="Table"/>
    <w:rsid w:val="00EF4C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F4C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F4C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F4C20"/>
  </w:style>
  <w:style w:type="numbering" w:customStyle="1" w:styleId="NoList3">
    <w:name w:val="No List3"/>
    <w:next w:val="a3"/>
    <w:uiPriority w:val="99"/>
    <w:semiHidden/>
    <w:unhideWhenUsed/>
    <w:rsid w:val="00EF4C20"/>
  </w:style>
  <w:style w:type="character" w:customStyle="1" w:styleId="apple-converted-space">
    <w:name w:val="apple-converted-space"/>
    <w:basedOn w:val="a1"/>
    <w:rsid w:val="00EF4C20"/>
  </w:style>
  <w:style w:type="character" w:customStyle="1" w:styleId="mw-cite-backlink">
    <w:name w:val="mw-cite-backlink"/>
    <w:basedOn w:val="a1"/>
    <w:rsid w:val="00EF4C20"/>
  </w:style>
  <w:style w:type="character" w:customStyle="1" w:styleId="cite-accessibility-label">
    <w:name w:val="cite-accessibility-label"/>
    <w:basedOn w:val="a1"/>
    <w:rsid w:val="00EF4C20"/>
  </w:style>
  <w:style w:type="paragraph" w:customStyle="1" w:styleId="Default">
    <w:name w:val="Default"/>
    <w:rsid w:val="00EF4C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F4C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F4C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F4C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F4C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F4C20"/>
  </w:style>
  <w:style w:type="character" w:customStyle="1" w:styleId="article-headercorresponding-auth">
    <w:name w:val="article-header__corresponding-auth"/>
    <w:basedOn w:val="a1"/>
    <w:rsid w:val="00EF4C20"/>
  </w:style>
  <w:style w:type="character" w:customStyle="1" w:styleId="collapsetext1">
    <w:name w:val="collapsetext1"/>
    <w:rsid w:val="00EF4C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F4C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F4C20"/>
    <w:rPr>
      <w:i/>
      <w:iCs/>
    </w:rPr>
  </w:style>
  <w:style w:type="character" w:customStyle="1" w:styleId="slug-elocation">
    <w:name w:val="slug-elocation"/>
    <w:basedOn w:val="a1"/>
    <w:rsid w:val="00EF4C20"/>
  </w:style>
  <w:style w:type="character" w:customStyle="1" w:styleId="st1">
    <w:name w:val="st1"/>
    <w:basedOn w:val="a1"/>
    <w:rsid w:val="00EF4C20"/>
  </w:style>
  <w:style w:type="character" w:customStyle="1" w:styleId="current-selection">
    <w:name w:val="current-selection"/>
    <w:basedOn w:val="a1"/>
    <w:rsid w:val="00EF4C20"/>
  </w:style>
  <w:style w:type="character" w:customStyle="1" w:styleId="af8">
    <w:name w:val="_"/>
    <w:basedOn w:val="a1"/>
    <w:rsid w:val="00EF4C20"/>
  </w:style>
  <w:style w:type="character" w:customStyle="1" w:styleId="enhanced-reference">
    <w:name w:val="enhanced-reference"/>
    <w:basedOn w:val="a1"/>
    <w:rsid w:val="00EF4C20"/>
  </w:style>
  <w:style w:type="character" w:customStyle="1" w:styleId="ff5">
    <w:name w:val="ff5"/>
    <w:basedOn w:val="a1"/>
    <w:rsid w:val="00EF4C20"/>
  </w:style>
  <w:style w:type="character" w:customStyle="1" w:styleId="named-content">
    <w:name w:val="named-content"/>
    <w:basedOn w:val="a1"/>
    <w:rsid w:val="00EF4C20"/>
  </w:style>
  <w:style w:type="character" w:customStyle="1" w:styleId="A40">
    <w:name w:val="A4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F4C20"/>
    <w:rPr>
      <w:i/>
      <w:iCs/>
    </w:rPr>
  </w:style>
  <w:style w:type="character" w:styleId="af9">
    <w:name w:val="Strong"/>
    <w:uiPriority w:val="22"/>
    <w:qFormat/>
    <w:rsid w:val="00EF4C20"/>
    <w:rPr>
      <w:b/>
      <w:bCs/>
    </w:rPr>
  </w:style>
  <w:style w:type="character" w:customStyle="1" w:styleId="cit-auth">
    <w:name w:val="cit-auth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F4C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F4C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F4C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F4C20"/>
  </w:style>
  <w:style w:type="character" w:customStyle="1" w:styleId="js-revealercontrol-toggle">
    <w:name w:val="js-revealer__control-toggle"/>
    <w:basedOn w:val="a1"/>
    <w:rsid w:val="00EF4C20"/>
  </w:style>
  <w:style w:type="character" w:customStyle="1" w:styleId="equiv">
    <w:name w:val="equiv"/>
    <w:basedOn w:val="a1"/>
    <w:rsid w:val="00EF4C20"/>
  </w:style>
  <w:style w:type="character" w:customStyle="1" w:styleId="article-headermeta-info-label">
    <w:name w:val="article-header__meta-info-label"/>
    <w:basedOn w:val="a1"/>
    <w:rsid w:val="00EF4C20"/>
  </w:style>
  <w:style w:type="character" w:customStyle="1" w:styleId="cit-issue">
    <w:name w:val="cit-issue"/>
    <w:basedOn w:val="a1"/>
    <w:rsid w:val="00EF4C20"/>
  </w:style>
  <w:style w:type="character" w:customStyle="1" w:styleId="cit-first-page">
    <w:name w:val="cit-first-page"/>
    <w:basedOn w:val="a1"/>
    <w:rsid w:val="00EF4C20"/>
  </w:style>
  <w:style w:type="paragraph" w:customStyle="1" w:styleId="hstyle0">
    <w:name w:val="hstyle0"/>
    <w:basedOn w:val="a"/>
    <w:rsid w:val="00EF4C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F4C20"/>
  </w:style>
  <w:style w:type="character" w:customStyle="1" w:styleId="jp-sup1">
    <w:name w:val="jp-sup1"/>
    <w:rsid w:val="00EF4C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F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9/mic.0.001049" TargetMode="External"/><Relationship Id="rId13" Type="http://schemas.openxmlformats.org/officeDocument/2006/relationships/hyperlink" Target="https://doi.org/10.1016/j.copbio.2020.12.017" TargetMode="External"/><Relationship Id="rId18" Type="http://schemas.openxmlformats.org/officeDocument/2006/relationships/hyperlink" Target="https://doi.org/10.1038/s41598-021-81718-2" TargetMode="External"/><Relationship Id="rId26" Type="http://schemas.openxmlformats.org/officeDocument/2006/relationships/hyperlink" Target="https://doi.org/10.1099/ijsem.0.004748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oi.org/10.1016/j.syapm.2020.126155" TargetMode="External"/><Relationship Id="rId34" Type="http://schemas.openxmlformats.org/officeDocument/2006/relationships/hyperlink" Target="https://doi.org/10.1099/ijsem.0.004748" TargetMode="External"/><Relationship Id="rId7" Type="http://schemas.openxmlformats.org/officeDocument/2006/relationships/hyperlink" Target="https://doi.org/10.1099/mic.0.001010" TargetMode="External"/><Relationship Id="rId12" Type="http://schemas.openxmlformats.org/officeDocument/2006/relationships/hyperlink" Target="https://doi.org/10.1016/j.biortech.2021.125189" TargetMode="External"/><Relationship Id="rId17" Type="http://schemas.openxmlformats.org/officeDocument/2006/relationships/hyperlink" Target="https://doi.org/10.1002/jobm.202000485" TargetMode="External"/><Relationship Id="rId25" Type="http://schemas.openxmlformats.org/officeDocument/2006/relationships/hyperlink" Target="https://doi.org/10.1007/s00284-021-02524-7" TargetMode="External"/><Relationship Id="rId33" Type="http://schemas.openxmlformats.org/officeDocument/2006/relationships/hyperlink" Target="https://doi.org/10.1038/s41396-020-00750-8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1016/j.watres.2020.116723" TargetMode="External"/><Relationship Id="rId20" Type="http://schemas.openxmlformats.org/officeDocument/2006/relationships/hyperlink" Target="https://doi.org/10.1111/gbi.12413" TargetMode="External"/><Relationship Id="rId29" Type="http://schemas.openxmlformats.org/officeDocument/2006/relationships/hyperlink" Target="https://doi.org/10.1016/j.syapm.2020.12615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s00449-020-02475-6" TargetMode="External"/><Relationship Id="rId24" Type="http://schemas.openxmlformats.org/officeDocument/2006/relationships/hyperlink" Target="https://journals.asm.org/doi/abs/10.1128/mSystems.01186-20" TargetMode="External"/><Relationship Id="rId32" Type="http://schemas.openxmlformats.org/officeDocument/2006/relationships/hyperlink" Target="https://doi.org/10.1093/femsec/fiab057" TargetMode="External"/><Relationship Id="rId37" Type="http://schemas.openxmlformats.org/officeDocument/2006/relationships/hyperlink" Target="https://doi.org/10.1093/femsec/fiaa23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jbiosc.2021.03.012" TargetMode="External"/><Relationship Id="rId23" Type="http://schemas.openxmlformats.org/officeDocument/2006/relationships/hyperlink" Target="https://doi.org/10.1016/j.jbiotec.2021.02.003" TargetMode="External"/><Relationship Id="rId28" Type="http://schemas.openxmlformats.org/officeDocument/2006/relationships/hyperlink" Target="https://www.frontiersin.org/article/10.3389/fmicb.2021.673066" TargetMode="External"/><Relationship Id="rId36" Type="http://schemas.openxmlformats.org/officeDocument/2006/relationships/hyperlink" Target="https://www.pnas.org/content/pnas/118/11/e2020024118.full.pdf" TargetMode="External"/><Relationship Id="rId10" Type="http://schemas.openxmlformats.org/officeDocument/2006/relationships/hyperlink" Target="https://doi.org/10.1080/01490451.2020.1856980" TargetMode="External"/><Relationship Id="rId19" Type="http://schemas.openxmlformats.org/officeDocument/2006/relationships/hyperlink" Target="https://doi.org/10.1111/1462-2920.15484" TargetMode="External"/><Relationship Id="rId31" Type="http://schemas.openxmlformats.org/officeDocument/2006/relationships/hyperlink" Target="https://doi.org/10.1038/s41579-020-00502-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bio.asm.org/content/9/1/e02203-17.abstract" TargetMode="External"/><Relationship Id="rId14" Type="http://schemas.openxmlformats.org/officeDocument/2006/relationships/hyperlink" Target="http://www.sciencedirect.com/science/article/pii/S0043135420312616" TargetMode="External"/><Relationship Id="rId22" Type="http://schemas.openxmlformats.org/officeDocument/2006/relationships/hyperlink" Target="https://doi.org/10.1038/s41396-020-00869-8" TargetMode="External"/><Relationship Id="rId27" Type="http://schemas.openxmlformats.org/officeDocument/2006/relationships/hyperlink" Target="https://doi.org/10.1016/j.tibtech.2020.06.011" TargetMode="External"/><Relationship Id="rId30" Type="http://schemas.openxmlformats.org/officeDocument/2006/relationships/hyperlink" Target="https://doi.org/10.1038/s41598-021-81412-3" TargetMode="External"/><Relationship Id="rId35" Type="http://schemas.openxmlformats.org/officeDocument/2006/relationships/hyperlink" Target="https://doi.org/10.1016/j.syapm.2020.12617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21</cp:revision>
  <dcterms:created xsi:type="dcterms:W3CDTF">2020-01-07T02:21:00Z</dcterms:created>
  <dcterms:modified xsi:type="dcterms:W3CDTF">2021-07-19T02:20:00Z</dcterms:modified>
</cp:coreProperties>
</file>