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7F0" w:rsidRDefault="00A537F0">
      <w:pPr>
        <w:rPr>
          <w:rFonts w:asciiTheme="majorHAnsi" w:hAnsiTheme="majorHAnsi" w:cs="Times New Roman"/>
          <w:sz w:val="22"/>
          <w:szCs w:val="22"/>
        </w:rPr>
      </w:pPr>
      <w:r>
        <w:t xml:space="preserve">This exercise poses the question </w:t>
      </w:r>
      <w:r w:rsidRPr="00A537F0">
        <w:rPr>
          <w:i/>
        </w:rPr>
        <w:t>“How long is the length of Britain</w:t>
      </w:r>
      <w:r w:rsidR="00964D93">
        <w:rPr>
          <w:i/>
        </w:rPr>
        <w:t>’s coastline</w:t>
      </w:r>
      <w:bookmarkStart w:id="0" w:name="_GoBack"/>
      <w:bookmarkEnd w:id="0"/>
      <w:r w:rsidRPr="00A537F0">
        <w:rPr>
          <w:i/>
        </w:rPr>
        <w:t>?”</w:t>
      </w:r>
      <w:r>
        <w:rPr>
          <w:i/>
        </w:rPr>
        <w:t xml:space="preserve"> </w:t>
      </w:r>
      <w:r>
        <w:t xml:space="preserve">to demonstrate that the </w:t>
      </w:r>
      <w:r w:rsidRPr="00E60DE4">
        <w:rPr>
          <w:rFonts w:asciiTheme="majorHAnsi" w:hAnsiTheme="majorHAnsi" w:cs="Times New Roman"/>
          <w:sz w:val="22"/>
          <w:szCs w:val="22"/>
        </w:rPr>
        <w:t xml:space="preserve">uncertainty </w:t>
      </w:r>
      <w:r>
        <w:rPr>
          <w:rFonts w:asciiTheme="majorHAnsi" w:hAnsiTheme="majorHAnsi" w:cs="Times New Roman"/>
          <w:sz w:val="22"/>
          <w:szCs w:val="22"/>
        </w:rPr>
        <w:t>associated with any measurement</w:t>
      </w:r>
      <w:r w:rsidRPr="00E60DE4">
        <w:rPr>
          <w:rFonts w:asciiTheme="majorHAnsi" w:hAnsiTheme="majorHAnsi" w:cs="Times New Roman"/>
          <w:sz w:val="22"/>
          <w:szCs w:val="22"/>
        </w:rPr>
        <w:t xml:space="preserve"> </w:t>
      </w:r>
      <w:r>
        <w:rPr>
          <w:rFonts w:asciiTheme="majorHAnsi" w:hAnsiTheme="majorHAnsi" w:cs="Times New Roman"/>
          <w:sz w:val="22"/>
          <w:szCs w:val="22"/>
        </w:rPr>
        <w:t xml:space="preserve">or estimation </w:t>
      </w:r>
      <w:r w:rsidRPr="00E60DE4">
        <w:rPr>
          <w:rFonts w:asciiTheme="majorHAnsi" w:hAnsiTheme="majorHAnsi" w:cs="Times New Roman"/>
          <w:sz w:val="22"/>
          <w:szCs w:val="22"/>
        </w:rPr>
        <w:t xml:space="preserve">is a function of the spatial scale at which </w:t>
      </w:r>
      <w:r>
        <w:rPr>
          <w:rFonts w:asciiTheme="majorHAnsi" w:hAnsiTheme="majorHAnsi" w:cs="Times New Roman"/>
          <w:sz w:val="22"/>
          <w:szCs w:val="22"/>
        </w:rPr>
        <w:t xml:space="preserve">that measurement </w:t>
      </w:r>
      <w:r>
        <w:rPr>
          <w:rFonts w:asciiTheme="majorHAnsi" w:hAnsiTheme="majorHAnsi" w:cs="Times New Roman"/>
          <w:sz w:val="22"/>
          <w:szCs w:val="22"/>
        </w:rPr>
        <w:t xml:space="preserve">or estimation </w:t>
      </w:r>
      <w:r>
        <w:rPr>
          <w:rFonts w:asciiTheme="majorHAnsi" w:hAnsiTheme="majorHAnsi" w:cs="Times New Roman"/>
          <w:sz w:val="22"/>
          <w:szCs w:val="22"/>
        </w:rPr>
        <w:t xml:space="preserve">was </w:t>
      </w:r>
      <w:r>
        <w:rPr>
          <w:rFonts w:asciiTheme="majorHAnsi" w:hAnsiTheme="majorHAnsi" w:cs="Times New Roman"/>
          <w:sz w:val="22"/>
          <w:szCs w:val="22"/>
        </w:rPr>
        <w:t>generated.</w:t>
      </w:r>
      <w:r w:rsidR="00964D93">
        <w:rPr>
          <w:rFonts w:asciiTheme="majorHAnsi" w:hAnsiTheme="majorHAnsi" w:cs="Times New Roman"/>
          <w:sz w:val="22"/>
          <w:szCs w:val="22"/>
        </w:rPr>
        <w:t xml:space="preserve"> T</w:t>
      </w:r>
      <w:r>
        <w:rPr>
          <w:rFonts w:asciiTheme="majorHAnsi" w:hAnsiTheme="majorHAnsi" w:cs="Times New Roman"/>
          <w:sz w:val="22"/>
          <w:szCs w:val="22"/>
        </w:rPr>
        <w:t xml:space="preserve">he imagery basemap supplied by ArcGIS </w:t>
      </w:r>
      <w:r w:rsidR="00964D93">
        <w:rPr>
          <w:rFonts w:asciiTheme="majorHAnsi" w:hAnsiTheme="majorHAnsi" w:cs="Times New Roman"/>
          <w:sz w:val="22"/>
          <w:szCs w:val="22"/>
        </w:rPr>
        <w:t xml:space="preserve">can </w:t>
      </w:r>
      <w:r>
        <w:rPr>
          <w:rFonts w:asciiTheme="majorHAnsi" w:hAnsiTheme="majorHAnsi" w:cs="Times New Roman"/>
          <w:sz w:val="22"/>
          <w:szCs w:val="22"/>
        </w:rPr>
        <w:t xml:space="preserve">used as a back drop against which the coastline of Britain can be digitised </w:t>
      </w:r>
      <w:r w:rsidR="00964D93">
        <w:rPr>
          <w:rFonts w:asciiTheme="majorHAnsi" w:hAnsiTheme="majorHAnsi" w:cs="Times New Roman"/>
          <w:sz w:val="22"/>
          <w:szCs w:val="22"/>
        </w:rPr>
        <w:t>across at a series of different geographical scales in</w:t>
      </w:r>
      <w:r>
        <w:rPr>
          <w:rFonts w:asciiTheme="majorHAnsi" w:hAnsiTheme="majorHAnsi" w:cs="Times New Roman"/>
          <w:sz w:val="22"/>
          <w:szCs w:val="22"/>
        </w:rPr>
        <w:t xml:space="preserve"> order to measure, or estimate, its length.</w:t>
      </w:r>
    </w:p>
    <w:p w:rsidR="00A537F0" w:rsidRDefault="00964D93">
      <w:pPr>
        <w:rPr>
          <w:rFonts w:asciiTheme="majorHAnsi" w:hAnsiTheme="majorHAnsi" w:cs="Times New Roman"/>
          <w:sz w:val="22"/>
          <w:szCs w:val="22"/>
        </w:rPr>
      </w:pPr>
      <w:r>
        <w:rPr>
          <w:rFonts w:asciiTheme="majorHAnsi" w:hAnsiTheme="majorHAnsi" w:cs="Times New Roman"/>
          <w:sz w:val="22"/>
          <w:szCs w:val="22"/>
        </w:rPr>
        <w:t>A table is supplied below to illustrate estimates of the coastline length, alongside the scale at which the coastline was digitised in order to generate the overall length estimate.</w:t>
      </w:r>
    </w:p>
    <w:tbl>
      <w:tblPr>
        <w:tblStyle w:val="TableGrid"/>
        <w:tblW w:w="0" w:type="auto"/>
        <w:tblLook w:val="04A0" w:firstRow="1" w:lastRow="0" w:firstColumn="1" w:lastColumn="0" w:noHBand="0" w:noVBand="1"/>
      </w:tblPr>
      <w:tblGrid>
        <w:gridCol w:w="2448"/>
        <w:gridCol w:w="2448"/>
        <w:gridCol w:w="2334"/>
        <w:gridCol w:w="2012"/>
      </w:tblGrid>
      <w:tr w:rsidR="00964D93" w:rsidTr="00964D93">
        <w:tc>
          <w:tcPr>
            <w:tcW w:w="2448" w:type="dxa"/>
          </w:tcPr>
          <w:p w:rsidR="00964D93" w:rsidRDefault="00964D93">
            <w:pPr>
              <w:rPr>
                <w:rFonts w:asciiTheme="majorHAnsi" w:hAnsiTheme="majorHAnsi" w:cs="Times New Roman"/>
                <w:sz w:val="22"/>
                <w:szCs w:val="22"/>
              </w:rPr>
            </w:pPr>
            <w:r>
              <w:rPr>
                <w:rFonts w:asciiTheme="majorHAnsi" w:hAnsiTheme="majorHAnsi" w:cs="Times New Roman"/>
                <w:sz w:val="22"/>
                <w:szCs w:val="22"/>
              </w:rPr>
              <w:t>Scale</w:t>
            </w:r>
          </w:p>
        </w:tc>
        <w:tc>
          <w:tcPr>
            <w:tcW w:w="2448" w:type="dxa"/>
          </w:tcPr>
          <w:p w:rsidR="00964D93" w:rsidRDefault="00964D93">
            <w:pPr>
              <w:rPr>
                <w:rFonts w:asciiTheme="majorHAnsi" w:hAnsiTheme="majorHAnsi" w:cs="Times New Roman"/>
                <w:sz w:val="22"/>
                <w:szCs w:val="22"/>
              </w:rPr>
            </w:pPr>
            <w:r>
              <w:rPr>
                <w:rFonts w:asciiTheme="majorHAnsi" w:hAnsiTheme="majorHAnsi" w:cs="Times New Roman"/>
                <w:sz w:val="22"/>
                <w:szCs w:val="22"/>
              </w:rPr>
              <w:t>Scale factor</w:t>
            </w:r>
          </w:p>
        </w:tc>
        <w:tc>
          <w:tcPr>
            <w:tcW w:w="2334" w:type="dxa"/>
          </w:tcPr>
          <w:p w:rsidR="00964D93" w:rsidRDefault="00964D93">
            <w:pPr>
              <w:rPr>
                <w:rFonts w:asciiTheme="majorHAnsi" w:hAnsiTheme="majorHAnsi" w:cs="Times New Roman"/>
                <w:sz w:val="22"/>
                <w:szCs w:val="22"/>
              </w:rPr>
            </w:pPr>
            <w:r>
              <w:rPr>
                <w:rFonts w:asciiTheme="majorHAnsi" w:hAnsiTheme="majorHAnsi" w:cs="Times New Roman"/>
                <w:sz w:val="22"/>
                <w:szCs w:val="22"/>
              </w:rPr>
              <w:t>Coastline length/ km</w:t>
            </w:r>
          </w:p>
        </w:tc>
        <w:tc>
          <w:tcPr>
            <w:tcW w:w="2012" w:type="dxa"/>
          </w:tcPr>
          <w:p w:rsidR="00964D93" w:rsidRDefault="00964D93">
            <w:pPr>
              <w:rPr>
                <w:rFonts w:asciiTheme="majorHAnsi" w:hAnsiTheme="majorHAnsi" w:cs="Times New Roman"/>
                <w:sz w:val="22"/>
                <w:szCs w:val="22"/>
              </w:rPr>
            </w:pPr>
            <w:r>
              <w:rPr>
                <w:rFonts w:asciiTheme="majorHAnsi" w:hAnsiTheme="majorHAnsi" w:cs="Times New Roman"/>
                <w:sz w:val="22"/>
                <w:szCs w:val="22"/>
              </w:rPr>
              <w:t>Ln Coastline length</w:t>
            </w:r>
          </w:p>
        </w:tc>
      </w:tr>
      <w:tr w:rsidR="00964D93" w:rsidTr="00CA1394">
        <w:tc>
          <w:tcPr>
            <w:tcW w:w="2448" w:type="dxa"/>
            <w:vAlign w:val="bottom"/>
          </w:tcPr>
          <w:p w:rsidR="00964D93" w:rsidRDefault="00964D93">
            <w:pPr>
              <w:rPr>
                <w:rFonts w:ascii="Calibri" w:hAnsi="Calibri" w:cs="Calibri"/>
                <w:color w:val="000000"/>
                <w:sz w:val="22"/>
                <w:szCs w:val="22"/>
              </w:rPr>
            </w:pPr>
            <w:r>
              <w:rPr>
                <w:rFonts w:ascii="Calibri" w:hAnsi="Calibri" w:cs="Calibri"/>
                <w:color w:val="000000"/>
                <w:sz w:val="22"/>
                <w:szCs w:val="22"/>
              </w:rPr>
              <w:t>1:25000000</w:t>
            </w:r>
          </w:p>
        </w:tc>
        <w:tc>
          <w:tcPr>
            <w:tcW w:w="2448"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0.00000004</w:t>
            </w:r>
          </w:p>
        </w:tc>
        <w:tc>
          <w:tcPr>
            <w:tcW w:w="2334"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7219</w:t>
            </w:r>
          </w:p>
        </w:tc>
        <w:tc>
          <w:tcPr>
            <w:tcW w:w="2012"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8.884472</w:t>
            </w:r>
          </w:p>
        </w:tc>
      </w:tr>
      <w:tr w:rsidR="00964D93" w:rsidTr="00CA1394">
        <w:tc>
          <w:tcPr>
            <w:tcW w:w="2448" w:type="dxa"/>
            <w:vAlign w:val="bottom"/>
          </w:tcPr>
          <w:p w:rsidR="00964D93" w:rsidRDefault="00964D93">
            <w:pPr>
              <w:rPr>
                <w:rFonts w:ascii="Calibri" w:hAnsi="Calibri" w:cs="Calibri"/>
                <w:color w:val="000000"/>
                <w:sz w:val="22"/>
                <w:szCs w:val="22"/>
              </w:rPr>
            </w:pPr>
            <w:r>
              <w:rPr>
                <w:rFonts w:ascii="Calibri" w:hAnsi="Calibri" w:cs="Calibri"/>
                <w:color w:val="000000"/>
                <w:sz w:val="22"/>
                <w:szCs w:val="22"/>
              </w:rPr>
              <w:t>1:30000000</w:t>
            </w:r>
          </w:p>
        </w:tc>
        <w:tc>
          <w:tcPr>
            <w:tcW w:w="2448"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3.33333E-08</w:t>
            </w:r>
          </w:p>
        </w:tc>
        <w:tc>
          <w:tcPr>
            <w:tcW w:w="2334"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6011</w:t>
            </w:r>
          </w:p>
        </w:tc>
        <w:tc>
          <w:tcPr>
            <w:tcW w:w="2012"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8.701346</w:t>
            </w:r>
          </w:p>
        </w:tc>
      </w:tr>
      <w:tr w:rsidR="00964D93" w:rsidTr="00CA1394">
        <w:tc>
          <w:tcPr>
            <w:tcW w:w="2448" w:type="dxa"/>
            <w:vAlign w:val="bottom"/>
          </w:tcPr>
          <w:p w:rsidR="00964D93" w:rsidRDefault="00964D93">
            <w:pPr>
              <w:rPr>
                <w:rFonts w:ascii="Calibri" w:hAnsi="Calibri" w:cs="Calibri"/>
                <w:color w:val="000000"/>
                <w:sz w:val="22"/>
                <w:szCs w:val="22"/>
              </w:rPr>
            </w:pPr>
            <w:r>
              <w:rPr>
                <w:rFonts w:ascii="Calibri" w:hAnsi="Calibri" w:cs="Calibri"/>
                <w:color w:val="000000"/>
                <w:sz w:val="22"/>
                <w:szCs w:val="22"/>
              </w:rPr>
              <w:t>1:50000000</w:t>
            </w:r>
          </w:p>
        </w:tc>
        <w:tc>
          <w:tcPr>
            <w:tcW w:w="2448"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0.00000002</w:t>
            </w:r>
          </w:p>
        </w:tc>
        <w:tc>
          <w:tcPr>
            <w:tcW w:w="2334"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5779</w:t>
            </w:r>
          </w:p>
        </w:tc>
        <w:tc>
          <w:tcPr>
            <w:tcW w:w="2012"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8.661986</w:t>
            </w:r>
          </w:p>
        </w:tc>
      </w:tr>
      <w:tr w:rsidR="00964D93" w:rsidTr="00CA1394">
        <w:tc>
          <w:tcPr>
            <w:tcW w:w="2448" w:type="dxa"/>
            <w:vAlign w:val="bottom"/>
          </w:tcPr>
          <w:p w:rsidR="00964D93" w:rsidRDefault="00964D93">
            <w:pPr>
              <w:rPr>
                <w:rFonts w:ascii="Calibri" w:hAnsi="Calibri" w:cs="Calibri"/>
                <w:color w:val="000000"/>
                <w:sz w:val="22"/>
                <w:szCs w:val="22"/>
              </w:rPr>
            </w:pPr>
            <w:r>
              <w:rPr>
                <w:rFonts w:ascii="Calibri" w:hAnsi="Calibri" w:cs="Calibri"/>
                <w:color w:val="000000"/>
                <w:sz w:val="22"/>
                <w:szCs w:val="22"/>
              </w:rPr>
              <w:t>1:100000000</w:t>
            </w:r>
          </w:p>
        </w:tc>
        <w:tc>
          <w:tcPr>
            <w:tcW w:w="2448"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0.000000001</w:t>
            </w:r>
          </w:p>
        </w:tc>
        <w:tc>
          <w:tcPr>
            <w:tcW w:w="2334"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5430</w:t>
            </w:r>
          </w:p>
        </w:tc>
        <w:tc>
          <w:tcPr>
            <w:tcW w:w="2012" w:type="dxa"/>
            <w:vAlign w:val="bottom"/>
          </w:tcPr>
          <w:p w:rsidR="00964D93" w:rsidRDefault="00964D93">
            <w:pPr>
              <w:jc w:val="right"/>
              <w:rPr>
                <w:rFonts w:ascii="Calibri" w:hAnsi="Calibri" w:cs="Calibri"/>
                <w:color w:val="000000"/>
                <w:sz w:val="22"/>
                <w:szCs w:val="22"/>
              </w:rPr>
            </w:pPr>
            <w:r>
              <w:rPr>
                <w:rFonts w:ascii="Calibri" w:hAnsi="Calibri" w:cs="Calibri"/>
                <w:color w:val="000000"/>
                <w:sz w:val="22"/>
                <w:szCs w:val="22"/>
              </w:rPr>
              <w:t>8.599694</w:t>
            </w:r>
          </w:p>
        </w:tc>
      </w:tr>
    </w:tbl>
    <w:p w:rsidR="00964D93" w:rsidRDefault="00964D93">
      <w:pPr>
        <w:rPr>
          <w:rFonts w:asciiTheme="majorHAnsi" w:hAnsiTheme="majorHAnsi" w:cs="Times New Roman"/>
          <w:sz w:val="22"/>
          <w:szCs w:val="22"/>
        </w:rPr>
      </w:pPr>
    </w:p>
    <w:p w:rsidR="00964D93" w:rsidRDefault="00964D93">
      <w:pPr>
        <w:rPr>
          <w:rFonts w:asciiTheme="majorHAnsi" w:hAnsiTheme="majorHAnsi" w:cs="Times New Roman"/>
          <w:sz w:val="22"/>
          <w:szCs w:val="22"/>
        </w:rPr>
      </w:pPr>
      <w:r>
        <w:rPr>
          <w:rFonts w:asciiTheme="majorHAnsi" w:hAnsiTheme="majorHAnsi" w:cs="Times New Roman"/>
          <w:sz w:val="22"/>
          <w:szCs w:val="22"/>
        </w:rPr>
        <w:t xml:space="preserve">The natural log of the </w:t>
      </w:r>
      <w:r w:rsidR="00C543AD">
        <w:rPr>
          <w:rFonts w:asciiTheme="majorHAnsi" w:hAnsiTheme="majorHAnsi" w:cs="Times New Roman"/>
          <w:sz w:val="22"/>
          <w:szCs w:val="22"/>
        </w:rPr>
        <w:t>perimeter</w:t>
      </w:r>
      <w:r w:rsidR="00A537F0">
        <w:rPr>
          <w:rFonts w:asciiTheme="majorHAnsi" w:hAnsiTheme="majorHAnsi" w:cs="Times New Roman"/>
          <w:sz w:val="22"/>
          <w:szCs w:val="22"/>
        </w:rPr>
        <w:t xml:space="preserve"> </w:t>
      </w:r>
      <w:r w:rsidR="00C543AD">
        <w:rPr>
          <w:rFonts w:asciiTheme="majorHAnsi" w:hAnsiTheme="majorHAnsi" w:cs="Times New Roman"/>
          <w:sz w:val="22"/>
          <w:szCs w:val="22"/>
        </w:rPr>
        <w:t xml:space="preserve">estimations for </w:t>
      </w:r>
      <w:r w:rsidR="00A537F0">
        <w:rPr>
          <w:rFonts w:asciiTheme="majorHAnsi" w:hAnsiTheme="majorHAnsi" w:cs="Times New Roman"/>
          <w:sz w:val="22"/>
          <w:szCs w:val="22"/>
        </w:rPr>
        <w:t xml:space="preserve">the UK </w:t>
      </w:r>
      <w:r w:rsidR="00C543AD">
        <w:rPr>
          <w:rFonts w:asciiTheme="majorHAnsi" w:hAnsiTheme="majorHAnsi" w:cs="Times New Roman"/>
          <w:sz w:val="22"/>
          <w:szCs w:val="22"/>
        </w:rPr>
        <w:t xml:space="preserve">coastline </w:t>
      </w:r>
      <w:r w:rsidR="00A537F0">
        <w:rPr>
          <w:rFonts w:asciiTheme="majorHAnsi" w:hAnsiTheme="majorHAnsi" w:cs="Times New Roman"/>
          <w:sz w:val="22"/>
          <w:szCs w:val="22"/>
        </w:rPr>
        <w:t xml:space="preserve">are plotted against </w:t>
      </w:r>
      <w:r w:rsidR="00C543AD">
        <w:rPr>
          <w:rFonts w:asciiTheme="majorHAnsi" w:hAnsiTheme="majorHAnsi" w:cs="Times New Roman"/>
          <w:sz w:val="22"/>
          <w:szCs w:val="22"/>
        </w:rPr>
        <w:t xml:space="preserve">the scaling factor </w:t>
      </w:r>
      <w:r>
        <w:rPr>
          <w:rFonts w:asciiTheme="majorHAnsi" w:hAnsiTheme="majorHAnsi" w:cs="Times New Roman"/>
          <w:sz w:val="22"/>
          <w:szCs w:val="22"/>
        </w:rPr>
        <w:t xml:space="preserve">(area on the map divided by the areas on the ground) </w:t>
      </w:r>
      <w:r w:rsidR="00A537F0">
        <w:rPr>
          <w:rFonts w:asciiTheme="majorHAnsi" w:hAnsiTheme="majorHAnsi" w:cs="Times New Roman"/>
          <w:sz w:val="22"/>
          <w:szCs w:val="22"/>
        </w:rPr>
        <w:t xml:space="preserve">for </w:t>
      </w:r>
      <w:r>
        <w:rPr>
          <w:rFonts w:asciiTheme="majorHAnsi" w:hAnsiTheme="majorHAnsi" w:cs="Times New Roman"/>
          <w:sz w:val="22"/>
          <w:szCs w:val="22"/>
        </w:rPr>
        <w:t xml:space="preserve">a series of </w:t>
      </w:r>
      <w:r w:rsidR="00C543AD">
        <w:rPr>
          <w:rFonts w:asciiTheme="majorHAnsi" w:hAnsiTheme="majorHAnsi" w:cs="Times New Roman"/>
          <w:sz w:val="22"/>
          <w:szCs w:val="22"/>
        </w:rPr>
        <w:t xml:space="preserve">estimation values derived across a range of geographical scales </w:t>
      </w:r>
      <w:r>
        <w:rPr>
          <w:rFonts w:asciiTheme="majorHAnsi" w:hAnsiTheme="majorHAnsi" w:cs="Times New Roman"/>
          <w:sz w:val="22"/>
          <w:szCs w:val="22"/>
        </w:rPr>
        <w:t>t</w:t>
      </w:r>
      <w:r w:rsidR="00C543AD">
        <w:rPr>
          <w:rFonts w:asciiTheme="majorHAnsi" w:hAnsiTheme="majorHAnsi" w:cs="Times New Roman"/>
          <w:sz w:val="22"/>
          <w:szCs w:val="22"/>
        </w:rPr>
        <w:t>o explore the influence of scale on measurement</w:t>
      </w:r>
      <w:r>
        <w:rPr>
          <w:rFonts w:asciiTheme="majorHAnsi" w:hAnsiTheme="majorHAnsi" w:cs="Times New Roman"/>
          <w:sz w:val="22"/>
          <w:szCs w:val="22"/>
        </w:rPr>
        <w:t>.</w:t>
      </w:r>
    </w:p>
    <w:p w:rsidR="00964D93" w:rsidRDefault="00964D93">
      <w:pPr>
        <w:rPr>
          <w:rFonts w:asciiTheme="majorHAnsi" w:hAnsiTheme="majorHAnsi" w:cs="Times New Roman"/>
          <w:sz w:val="22"/>
          <w:szCs w:val="22"/>
        </w:rPr>
      </w:pPr>
    </w:p>
    <w:p w:rsidR="00A537F0" w:rsidRDefault="00964D93">
      <w:pPr>
        <w:rPr>
          <w:rFonts w:asciiTheme="majorHAnsi" w:hAnsiTheme="majorHAnsi" w:cs="Times New Roman"/>
          <w:sz w:val="22"/>
          <w:szCs w:val="22"/>
        </w:rPr>
      </w:pPr>
      <w:r>
        <w:rPr>
          <w:noProof/>
          <w:lang w:val="en-AU" w:eastAsia="en-AU"/>
        </w:rPr>
        <w:drawing>
          <wp:inline distT="0" distB="0" distL="0" distR="0" wp14:anchorId="6F7571B2" wp14:editId="5FFF2B35">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sidR="00C543AD">
        <w:rPr>
          <w:rFonts w:asciiTheme="majorHAnsi" w:hAnsiTheme="majorHAnsi" w:cs="Times New Roman"/>
          <w:sz w:val="22"/>
          <w:szCs w:val="22"/>
        </w:rPr>
        <w:t xml:space="preserve"> </w:t>
      </w:r>
    </w:p>
    <w:p w:rsidR="00964D93" w:rsidRDefault="00964D93" w:rsidP="00964D93">
      <w:pPr>
        <w:ind w:left="-270" w:right="72"/>
        <w:jc w:val="both"/>
        <w:rPr>
          <w:rFonts w:asciiTheme="majorHAnsi" w:hAnsiTheme="majorHAnsi" w:cs="Times New Roman"/>
          <w:sz w:val="22"/>
          <w:szCs w:val="22"/>
        </w:rPr>
      </w:pPr>
      <w:r>
        <w:rPr>
          <w:rFonts w:asciiTheme="majorHAnsi" w:hAnsiTheme="majorHAnsi" w:cs="Times New Roman"/>
          <w:sz w:val="22"/>
          <w:szCs w:val="22"/>
        </w:rPr>
        <w:t xml:space="preserve">This question can be answered by digitising the coastline as a vector dataset composed of many lines. The overall length can then be calculated by adding together the lengths of all the individual lines. If several digitisations are carried out across a range of scales, it becomes apparent that the greater the scale at which the coastline is viewed during the digitization procedure (i.e. the more ‘zoomed in’ the analyst is to the coastline), the longer the overall length that is estimated. This is because the more you zoom in on the coastline, the more detail is apparent. Thus, a line digitised at a larger scale more closely follows the intricate meandering shape of the coastline. As a consequence, the estimated length increased as a function of scale. Figure 8.2 illustrates the lines digitised to estimate the length of the mainland UK coastline at a scale of 1:1,000,000 (the largest </w:t>
      </w:r>
      <w:r>
        <w:rPr>
          <w:rFonts w:asciiTheme="majorHAnsi" w:hAnsiTheme="majorHAnsi" w:cs="Times New Roman"/>
          <w:sz w:val="22"/>
          <w:szCs w:val="22"/>
        </w:rPr>
        <w:lastRenderedPageBreak/>
        <w:t xml:space="preserve">scale), 1:10,000,000 and 1:30,000,000 (the smallest scale). It can be seen that a greater degree of error is associated with the line digitised at the smallest scale. This is because it is not possible to see the detailed meanderings of the coastline. </w:t>
      </w:r>
      <w:r w:rsidRPr="00CE5AB3">
        <w:rPr>
          <w:rFonts w:asciiTheme="majorHAnsi" w:hAnsiTheme="majorHAnsi" w:cs="Times New Roman"/>
          <w:sz w:val="22"/>
          <w:szCs w:val="22"/>
        </w:rPr>
        <w:t>In</w:t>
      </w:r>
      <w:r>
        <w:rPr>
          <w:rFonts w:asciiTheme="majorHAnsi" w:hAnsiTheme="majorHAnsi" w:cs="Times New Roman"/>
          <w:sz w:val="22"/>
          <w:szCs w:val="22"/>
        </w:rPr>
        <w:t>deed, the lines digitised at this</w:t>
      </w:r>
      <w:r w:rsidRPr="00CE5AB3">
        <w:rPr>
          <w:rFonts w:asciiTheme="majorHAnsi" w:hAnsiTheme="majorHAnsi" w:cs="Times New Roman"/>
          <w:sz w:val="22"/>
          <w:szCs w:val="22"/>
        </w:rPr>
        <w:t xml:space="preserve"> smaller scale</w:t>
      </w:r>
      <w:r>
        <w:rPr>
          <w:rFonts w:asciiTheme="majorHAnsi" w:hAnsiTheme="majorHAnsi" w:cs="Times New Roman"/>
          <w:sz w:val="22"/>
          <w:szCs w:val="22"/>
        </w:rPr>
        <w:t xml:space="preserve"> often miss the coastline altogether. Such an error can be quantified through repeat digitisations of the coastline and statistical analysis of the distribution spread associated with the resulting coordinates belonging to the vertices of the digitised lines (see section 8.5.1). To get a more accurate measure, it is necessary to increase the scale. The estimate of length will continue to increase as the scale is increased. Even if the length is measured of every boulder, rock, pebble or grain of sand, this estimate will continue to increase as the scale or precision increases, approaching infinity. This phenomenon makes it very difficult to provide a definitive answer to the question of how long the coast of Britain is!</w:t>
      </w:r>
    </w:p>
    <w:p w:rsidR="00A537F0" w:rsidRPr="00A537F0" w:rsidRDefault="00A537F0"/>
    <w:sectPr w:rsidR="00A537F0" w:rsidRPr="00A537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7F0"/>
    <w:rsid w:val="000037FB"/>
    <w:rsid w:val="00005951"/>
    <w:rsid w:val="00007833"/>
    <w:rsid w:val="000117D7"/>
    <w:rsid w:val="00012321"/>
    <w:rsid w:val="00012343"/>
    <w:rsid w:val="000211DC"/>
    <w:rsid w:val="00023DF3"/>
    <w:rsid w:val="00032AD0"/>
    <w:rsid w:val="00033D44"/>
    <w:rsid w:val="00034DC6"/>
    <w:rsid w:val="000374B2"/>
    <w:rsid w:val="00040FBC"/>
    <w:rsid w:val="000426EB"/>
    <w:rsid w:val="00043651"/>
    <w:rsid w:val="00051275"/>
    <w:rsid w:val="0005384A"/>
    <w:rsid w:val="00055E27"/>
    <w:rsid w:val="00060346"/>
    <w:rsid w:val="00060673"/>
    <w:rsid w:val="00063846"/>
    <w:rsid w:val="000649E6"/>
    <w:rsid w:val="00065C1B"/>
    <w:rsid w:val="000678A9"/>
    <w:rsid w:val="000720B0"/>
    <w:rsid w:val="00073302"/>
    <w:rsid w:val="00073E14"/>
    <w:rsid w:val="000749DE"/>
    <w:rsid w:val="00077732"/>
    <w:rsid w:val="00077F30"/>
    <w:rsid w:val="00077FC9"/>
    <w:rsid w:val="00096BBB"/>
    <w:rsid w:val="000A0114"/>
    <w:rsid w:val="000A7910"/>
    <w:rsid w:val="000B2215"/>
    <w:rsid w:val="000B4BEE"/>
    <w:rsid w:val="000C2631"/>
    <w:rsid w:val="000C276D"/>
    <w:rsid w:val="000C4B0D"/>
    <w:rsid w:val="000C755E"/>
    <w:rsid w:val="000D06C1"/>
    <w:rsid w:val="000D4AC4"/>
    <w:rsid w:val="000D5A1F"/>
    <w:rsid w:val="000D5B04"/>
    <w:rsid w:val="000D5B5D"/>
    <w:rsid w:val="000D673D"/>
    <w:rsid w:val="000D708E"/>
    <w:rsid w:val="000E097E"/>
    <w:rsid w:val="000E2277"/>
    <w:rsid w:val="000E3484"/>
    <w:rsid w:val="000E4087"/>
    <w:rsid w:val="000F186F"/>
    <w:rsid w:val="00100E73"/>
    <w:rsid w:val="00102D60"/>
    <w:rsid w:val="00103F6A"/>
    <w:rsid w:val="00105874"/>
    <w:rsid w:val="00107F2E"/>
    <w:rsid w:val="00111C9B"/>
    <w:rsid w:val="00113443"/>
    <w:rsid w:val="00113F47"/>
    <w:rsid w:val="001151E2"/>
    <w:rsid w:val="00117D90"/>
    <w:rsid w:val="0012214C"/>
    <w:rsid w:val="001221ED"/>
    <w:rsid w:val="00125146"/>
    <w:rsid w:val="00141AE2"/>
    <w:rsid w:val="0015084E"/>
    <w:rsid w:val="00151C8C"/>
    <w:rsid w:val="00152D33"/>
    <w:rsid w:val="00153D41"/>
    <w:rsid w:val="00156DE5"/>
    <w:rsid w:val="00157AE4"/>
    <w:rsid w:val="00157C60"/>
    <w:rsid w:val="00164C4D"/>
    <w:rsid w:val="00165CDC"/>
    <w:rsid w:val="00175CB7"/>
    <w:rsid w:val="001808D3"/>
    <w:rsid w:val="00180E2A"/>
    <w:rsid w:val="001A0C72"/>
    <w:rsid w:val="001A16AF"/>
    <w:rsid w:val="001A240A"/>
    <w:rsid w:val="001A35BE"/>
    <w:rsid w:val="001A672E"/>
    <w:rsid w:val="001B0321"/>
    <w:rsid w:val="001B12AB"/>
    <w:rsid w:val="001B44F3"/>
    <w:rsid w:val="001B4E62"/>
    <w:rsid w:val="001B5D02"/>
    <w:rsid w:val="001B602F"/>
    <w:rsid w:val="001B77B5"/>
    <w:rsid w:val="001B7BF6"/>
    <w:rsid w:val="001C116C"/>
    <w:rsid w:val="001C396A"/>
    <w:rsid w:val="001C45FB"/>
    <w:rsid w:val="001D0377"/>
    <w:rsid w:val="001D09E1"/>
    <w:rsid w:val="001D310D"/>
    <w:rsid w:val="001D37C3"/>
    <w:rsid w:val="001D4062"/>
    <w:rsid w:val="001D472D"/>
    <w:rsid w:val="001D7298"/>
    <w:rsid w:val="001E27A4"/>
    <w:rsid w:val="001F2269"/>
    <w:rsid w:val="001F542D"/>
    <w:rsid w:val="00201181"/>
    <w:rsid w:val="00201196"/>
    <w:rsid w:val="00202656"/>
    <w:rsid w:val="00211215"/>
    <w:rsid w:val="002124BD"/>
    <w:rsid w:val="002200AC"/>
    <w:rsid w:val="00220F00"/>
    <w:rsid w:val="0022578F"/>
    <w:rsid w:val="0023444A"/>
    <w:rsid w:val="00244501"/>
    <w:rsid w:val="00246D03"/>
    <w:rsid w:val="00255B56"/>
    <w:rsid w:val="00257430"/>
    <w:rsid w:val="00263D7D"/>
    <w:rsid w:val="002653D9"/>
    <w:rsid w:val="00265EDF"/>
    <w:rsid w:val="00272592"/>
    <w:rsid w:val="002729CC"/>
    <w:rsid w:val="0027565C"/>
    <w:rsid w:val="002779AB"/>
    <w:rsid w:val="00280007"/>
    <w:rsid w:val="00285364"/>
    <w:rsid w:val="00286DB5"/>
    <w:rsid w:val="00291C9F"/>
    <w:rsid w:val="00295E46"/>
    <w:rsid w:val="0029785D"/>
    <w:rsid w:val="002A0ABA"/>
    <w:rsid w:val="002A7D36"/>
    <w:rsid w:val="002B0C09"/>
    <w:rsid w:val="002B17F8"/>
    <w:rsid w:val="002B4B03"/>
    <w:rsid w:val="002C0E92"/>
    <w:rsid w:val="002C2CEA"/>
    <w:rsid w:val="002C40ED"/>
    <w:rsid w:val="002C668E"/>
    <w:rsid w:val="002D0D96"/>
    <w:rsid w:val="002D22C4"/>
    <w:rsid w:val="002D7EE6"/>
    <w:rsid w:val="002E24A3"/>
    <w:rsid w:val="002E46B5"/>
    <w:rsid w:val="002E4EA1"/>
    <w:rsid w:val="002E4FEB"/>
    <w:rsid w:val="002F1D2D"/>
    <w:rsid w:val="002F31F3"/>
    <w:rsid w:val="002F3A1C"/>
    <w:rsid w:val="002F4AFD"/>
    <w:rsid w:val="002F5127"/>
    <w:rsid w:val="002F6D17"/>
    <w:rsid w:val="002F7295"/>
    <w:rsid w:val="00300C7C"/>
    <w:rsid w:val="003014F3"/>
    <w:rsid w:val="00305A16"/>
    <w:rsid w:val="00305B50"/>
    <w:rsid w:val="00306C00"/>
    <w:rsid w:val="00306F17"/>
    <w:rsid w:val="00307A48"/>
    <w:rsid w:val="00316759"/>
    <w:rsid w:val="003214C8"/>
    <w:rsid w:val="003217BD"/>
    <w:rsid w:val="003267E9"/>
    <w:rsid w:val="0032759D"/>
    <w:rsid w:val="003318D9"/>
    <w:rsid w:val="00333170"/>
    <w:rsid w:val="003354DF"/>
    <w:rsid w:val="00337245"/>
    <w:rsid w:val="00345B69"/>
    <w:rsid w:val="00351605"/>
    <w:rsid w:val="00357722"/>
    <w:rsid w:val="003616D8"/>
    <w:rsid w:val="003619F6"/>
    <w:rsid w:val="003625ED"/>
    <w:rsid w:val="00367B02"/>
    <w:rsid w:val="003718D5"/>
    <w:rsid w:val="00375B3D"/>
    <w:rsid w:val="00377831"/>
    <w:rsid w:val="00380A54"/>
    <w:rsid w:val="003830F9"/>
    <w:rsid w:val="00393938"/>
    <w:rsid w:val="00393FF6"/>
    <w:rsid w:val="003976E8"/>
    <w:rsid w:val="003A01F9"/>
    <w:rsid w:val="003A1C7D"/>
    <w:rsid w:val="003A24C6"/>
    <w:rsid w:val="003A3613"/>
    <w:rsid w:val="003A537C"/>
    <w:rsid w:val="003B10F5"/>
    <w:rsid w:val="003B57C9"/>
    <w:rsid w:val="003C365A"/>
    <w:rsid w:val="003C47F4"/>
    <w:rsid w:val="003D464E"/>
    <w:rsid w:val="003D517B"/>
    <w:rsid w:val="003D57B2"/>
    <w:rsid w:val="003E09D1"/>
    <w:rsid w:val="003E2650"/>
    <w:rsid w:val="003E44CA"/>
    <w:rsid w:val="003E48BE"/>
    <w:rsid w:val="003F01A5"/>
    <w:rsid w:val="0040109E"/>
    <w:rsid w:val="00401B4E"/>
    <w:rsid w:val="00402CE5"/>
    <w:rsid w:val="00405C43"/>
    <w:rsid w:val="00413D41"/>
    <w:rsid w:val="004146B4"/>
    <w:rsid w:val="004165F3"/>
    <w:rsid w:val="00417A99"/>
    <w:rsid w:val="00421E1F"/>
    <w:rsid w:val="0043380A"/>
    <w:rsid w:val="00433DE1"/>
    <w:rsid w:val="00441381"/>
    <w:rsid w:val="00447BAE"/>
    <w:rsid w:val="00453B53"/>
    <w:rsid w:val="00457E34"/>
    <w:rsid w:val="00462D42"/>
    <w:rsid w:val="004648F1"/>
    <w:rsid w:val="00466D2B"/>
    <w:rsid w:val="004750A0"/>
    <w:rsid w:val="00476DDD"/>
    <w:rsid w:val="004779A4"/>
    <w:rsid w:val="0048085F"/>
    <w:rsid w:val="00483E88"/>
    <w:rsid w:val="00493577"/>
    <w:rsid w:val="004A5E32"/>
    <w:rsid w:val="004B0205"/>
    <w:rsid w:val="004B13C2"/>
    <w:rsid w:val="004B274C"/>
    <w:rsid w:val="004B5DD7"/>
    <w:rsid w:val="004B69E1"/>
    <w:rsid w:val="004B72DE"/>
    <w:rsid w:val="004B7884"/>
    <w:rsid w:val="004C117F"/>
    <w:rsid w:val="004C6FCF"/>
    <w:rsid w:val="004D136E"/>
    <w:rsid w:val="004E79C6"/>
    <w:rsid w:val="004F3B8B"/>
    <w:rsid w:val="004F64DF"/>
    <w:rsid w:val="00501E63"/>
    <w:rsid w:val="0051068D"/>
    <w:rsid w:val="0051114D"/>
    <w:rsid w:val="00512154"/>
    <w:rsid w:val="00516C7D"/>
    <w:rsid w:val="00521625"/>
    <w:rsid w:val="0052167F"/>
    <w:rsid w:val="005239DB"/>
    <w:rsid w:val="00527170"/>
    <w:rsid w:val="0052790F"/>
    <w:rsid w:val="00530C9A"/>
    <w:rsid w:val="0053410B"/>
    <w:rsid w:val="00534B51"/>
    <w:rsid w:val="0054437E"/>
    <w:rsid w:val="0055033D"/>
    <w:rsid w:val="0055057B"/>
    <w:rsid w:val="005538AC"/>
    <w:rsid w:val="0055556F"/>
    <w:rsid w:val="00557093"/>
    <w:rsid w:val="00562C96"/>
    <w:rsid w:val="005640CC"/>
    <w:rsid w:val="005803DD"/>
    <w:rsid w:val="005812EA"/>
    <w:rsid w:val="00584F75"/>
    <w:rsid w:val="005874CB"/>
    <w:rsid w:val="00594DFC"/>
    <w:rsid w:val="005A1351"/>
    <w:rsid w:val="005A1FF1"/>
    <w:rsid w:val="005A3167"/>
    <w:rsid w:val="005A5603"/>
    <w:rsid w:val="005A7287"/>
    <w:rsid w:val="005C0199"/>
    <w:rsid w:val="005C60F2"/>
    <w:rsid w:val="005C6639"/>
    <w:rsid w:val="005D73E1"/>
    <w:rsid w:val="005E1396"/>
    <w:rsid w:val="005E1726"/>
    <w:rsid w:val="005E22C5"/>
    <w:rsid w:val="005E64A3"/>
    <w:rsid w:val="005E7EA9"/>
    <w:rsid w:val="005F5AF8"/>
    <w:rsid w:val="005F74B3"/>
    <w:rsid w:val="005F78DB"/>
    <w:rsid w:val="006013C8"/>
    <w:rsid w:val="00604E4A"/>
    <w:rsid w:val="00610C60"/>
    <w:rsid w:val="00610F74"/>
    <w:rsid w:val="00611AD8"/>
    <w:rsid w:val="006203C8"/>
    <w:rsid w:val="0062174E"/>
    <w:rsid w:val="006244CA"/>
    <w:rsid w:val="00625189"/>
    <w:rsid w:val="006256BB"/>
    <w:rsid w:val="00632385"/>
    <w:rsid w:val="0063294B"/>
    <w:rsid w:val="006366A6"/>
    <w:rsid w:val="00637EA0"/>
    <w:rsid w:val="006436F8"/>
    <w:rsid w:val="0064497B"/>
    <w:rsid w:val="0064626A"/>
    <w:rsid w:val="00647DAB"/>
    <w:rsid w:val="00647F00"/>
    <w:rsid w:val="006552B7"/>
    <w:rsid w:val="006561D3"/>
    <w:rsid w:val="00656E5A"/>
    <w:rsid w:val="00662AD8"/>
    <w:rsid w:val="00665C22"/>
    <w:rsid w:val="006808C7"/>
    <w:rsid w:val="00682C40"/>
    <w:rsid w:val="0069548D"/>
    <w:rsid w:val="00695B15"/>
    <w:rsid w:val="006A1AE7"/>
    <w:rsid w:val="006A3C39"/>
    <w:rsid w:val="006A407E"/>
    <w:rsid w:val="006A7577"/>
    <w:rsid w:val="006A7F84"/>
    <w:rsid w:val="006B014E"/>
    <w:rsid w:val="006B4DC7"/>
    <w:rsid w:val="006B6E7B"/>
    <w:rsid w:val="006B79B0"/>
    <w:rsid w:val="006C1328"/>
    <w:rsid w:val="006C4E45"/>
    <w:rsid w:val="006D15FC"/>
    <w:rsid w:val="006D5776"/>
    <w:rsid w:val="006E5463"/>
    <w:rsid w:val="006F1DE8"/>
    <w:rsid w:val="006F2117"/>
    <w:rsid w:val="006F2EA7"/>
    <w:rsid w:val="006F3C2A"/>
    <w:rsid w:val="006F7D48"/>
    <w:rsid w:val="00705199"/>
    <w:rsid w:val="00706135"/>
    <w:rsid w:val="007073E0"/>
    <w:rsid w:val="00707B92"/>
    <w:rsid w:val="00712C76"/>
    <w:rsid w:val="00715467"/>
    <w:rsid w:val="00716228"/>
    <w:rsid w:val="0071715D"/>
    <w:rsid w:val="00730C51"/>
    <w:rsid w:val="007415AD"/>
    <w:rsid w:val="00747EFD"/>
    <w:rsid w:val="0075268C"/>
    <w:rsid w:val="007532ED"/>
    <w:rsid w:val="007575FB"/>
    <w:rsid w:val="007627BB"/>
    <w:rsid w:val="00766110"/>
    <w:rsid w:val="007819D4"/>
    <w:rsid w:val="00790BAD"/>
    <w:rsid w:val="007A0310"/>
    <w:rsid w:val="007A126F"/>
    <w:rsid w:val="007A4966"/>
    <w:rsid w:val="007A63B1"/>
    <w:rsid w:val="007A7D1B"/>
    <w:rsid w:val="007B0485"/>
    <w:rsid w:val="007B1D0C"/>
    <w:rsid w:val="007B25B8"/>
    <w:rsid w:val="007B2C6B"/>
    <w:rsid w:val="007C02C5"/>
    <w:rsid w:val="007C0B77"/>
    <w:rsid w:val="007C187B"/>
    <w:rsid w:val="007C2FD3"/>
    <w:rsid w:val="007C4396"/>
    <w:rsid w:val="007C5815"/>
    <w:rsid w:val="007C6028"/>
    <w:rsid w:val="007D44FC"/>
    <w:rsid w:val="007D45B8"/>
    <w:rsid w:val="007D533F"/>
    <w:rsid w:val="007D65D9"/>
    <w:rsid w:val="007E47A8"/>
    <w:rsid w:val="007E52FF"/>
    <w:rsid w:val="007E66C2"/>
    <w:rsid w:val="007E6975"/>
    <w:rsid w:val="007E6BFA"/>
    <w:rsid w:val="007F5175"/>
    <w:rsid w:val="007F6EC5"/>
    <w:rsid w:val="008019BD"/>
    <w:rsid w:val="00806F1D"/>
    <w:rsid w:val="00812C87"/>
    <w:rsid w:val="00812E97"/>
    <w:rsid w:val="00817694"/>
    <w:rsid w:val="00817882"/>
    <w:rsid w:val="008201CA"/>
    <w:rsid w:val="00823EC1"/>
    <w:rsid w:val="00825C41"/>
    <w:rsid w:val="00827FB8"/>
    <w:rsid w:val="0083304D"/>
    <w:rsid w:val="00834A8E"/>
    <w:rsid w:val="00835395"/>
    <w:rsid w:val="00835F69"/>
    <w:rsid w:val="008411DE"/>
    <w:rsid w:val="00841BA5"/>
    <w:rsid w:val="00841FFA"/>
    <w:rsid w:val="00842C03"/>
    <w:rsid w:val="008437F8"/>
    <w:rsid w:val="008450C1"/>
    <w:rsid w:val="008517CB"/>
    <w:rsid w:val="008557E2"/>
    <w:rsid w:val="0086036B"/>
    <w:rsid w:val="0087383A"/>
    <w:rsid w:val="0087418D"/>
    <w:rsid w:val="00877A98"/>
    <w:rsid w:val="008857CB"/>
    <w:rsid w:val="00885D34"/>
    <w:rsid w:val="00892104"/>
    <w:rsid w:val="00893B10"/>
    <w:rsid w:val="008A2CF9"/>
    <w:rsid w:val="008C042A"/>
    <w:rsid w:val="008C1E5A"/>
    <w:rsid w:val="008C20E3"/>
    <w:rsid w:val="008C290C"/>
    <w:rsid w:val="008C2CF9"/>
    <w:rsid w:val="008D0C14"/>
    <w:rsid w:val="008E0F63"/>
    <w:rsid w:val="008E57D5"/>
    <w:rsid w:val="008E6FC5"/>
    <w:rsid w:val="008F2CE3"/>
    <w:rsid w:val="008F412C"/>
    <w:rsid w:val="008F6631"/>
    <w:rsid w:val="0090376E"/>
    <w:rsid w:val="00904160"/>
    <w:rsid w:val="0090734B"/>
    <w:rsid w:val="009132DB"/>
    <w:rsid w:val="00923B77"/>
    <w:rsid w:val="009252B7"/>
    <w:rsid w:val="009315EB"/>
    <w:rsid w:val="0093528A"/>
    <w:rsid w:val="00944A3E"/>
    <w:rsid w:val="00946D2E"/>
    <w:rsid w:val="009504D5"/>
    <w:rsid w:val="00950A58"/>
    <w:rsid w:val="00953198"/>
    <w:rsid w:val="009558C3"/>
    <w:rsid w:val="00956749"/>
    <w:rsid w:val="009639FD"/>
    <w:rsid w:val="00964D93"/>
    <w:rsid w:val="009723FB"/>
    <w:rsid w:val="0097297A"/>
    <w:rsid w:val="009767E3"/>
    <w:rsid w:val="00986A26"/>
    <w:rsid w:val="00992BA5"/>
    <w:rsid w:val="00994681"/>
    <w:rsid w:val="00996DB5"/>
    <w:rsid w:val="00997C85"/>
    <w:rsid w:val="009A0DFE"/>
    <w:rsid w:val="009A150D"/>
    <w:rsid w:val="009A252A"/>
    <w:rsid w:val="009A2644"/>
    <w:rsid w:val="009B1E76"/>
    <w:rsid w:val="009B3C41"/>
    <w:rsid w:val="009B42EE"/>
    <w:rsid w:val="009B6312"/>
    <w:rsid w:val="009B7479"/>
    <w:rsid w:val="009C1940"/>
    <w:rsid w:val="009C61F8"/>
    <w:rsid w:val="009D02A9"/>
    <w:rsid w:val="009D4AD2"/>
    <w:rsid w:val="009D5B7B"/>
    <w:rsid w:val="009E4752"/>
    <w:rsid w:val="009E6E87"/>
    <w:rsid w:val="009F3DB0"/>
    <w:rsid w:val="009F3EA4"/>
    <w:rsid w:val="009F486D"/>
    <w:rsid w:val="00A0104D"/>
    <w:rsid w:val="00A02A8D"/>
    <w:rsid w:val="00A06F08"/>
    <w:rsid w:val="00A075C3"/>
    <w:rsid w:val="00A07BAE"/>
    <w:rsid w:val="00A10D7A"/>
    <w:rsid w:val="00A11261"/>
    <w:rsid w:val="00A2000A"/>
    <w:rsid w:val="00A2644C"/>
    <w:rsid w:val="00A27738"/>
    <w:rsid w:val="00A35479"/>
    <w:rsid w:val="00A3557D"/>
    <w:rsid w:val="00A35B38"/>
    <w:rsid w:val="00A36FA2"/>
    <w:rsid w:val="00A377BE"/>
    <w:rsid w:val="00A434E0"/>
    <w:rsid w:val="00A4352F"/>
    <w:rsid w:val="00A440D1"/>
    <w:rsid w:val="00A504A9"/>
    <w:rsid w:val="00A50925"/>
    <w:rsid w:val="00A52871"/>
    <w:rsid w:val="00A537F0"/>
    <w:rsid w:val="00A56267"/>
    <w:rsid w:val="00A566C8"/>
    <w:rsid w:val="00A601A1"/>
    <w:rsid w:val="00A607F9"/>
    <w:rsid w:val="00A666D3"/>
    <w:rsid w:val="00A6677A"/>
    <w:rsid w:val="00A6736F"/>
    <w:rsid w:val="00A70FBB"/>
    <w:rsid w:val="00A72682"/>
    <w:rsid w:val="00A7331D"/>
    <w:rsid w:val="00A738DC"/>
    <w:rsid w:val="00A77E0D"/>
    <w:rsid w:val="00A80E90"/>
    <w:rsid w:val="00A91BE5"/>
    <w:rsid w:val="00A92A87"/>
    <w:rsid w:val="00AA0C2B"/>
    <w:rsid w:val="00AA0DF8"/>
    <w:rsid w:val="00AA535D"/>
    <w:rsid w:val="00AA660F"/>
    <w:rsid w:val="00AB689D"/>
    <w:rsid w:val="00AB7ABE"/>
    <w:rsid w:val="00AC19E5"/>
    <w:rsid w:val="00AC39B7"/>
    <w:rsid w:val="00AC5C7B"/>
    <w:rsid w:val="00AD628A"/>
    <w:rsid w:val="00AE0F21"/>
    <w:rsid w:val="00AE1034"/>
    <w:rsid w:val="00AE2B12"/>
    <w:rsid w:val="00AE4650"/>
    <w:rsid w:val="00AE6387"/>
    <w:rsid w:val="00AE6CCF"/>
    <w:rsid w:val="00B011B8"/>
    <w:rsid w:val="00B02E20"/>
    <w:rsid w:val="00B03775"/>
    <w:rsid w:val="00B05997"/>
    <w:rsid w:val="00B06B65"/>
    <w:rsid w:val="00B16451"/>
    <w:rsid w:val="00B172C7"/>
    <w:rsid w:val="00B260E8"/>
    <w:rsid w:val="00B32E7A"/>
    <w:rsid w:val="00B33455"/>
    <w:rsid w:val="00B407D7"/>
    <w:rsid w:val="00B41DEA"/>
    <w:rsid w:val="00B44599"/>
    <w:rsid w:val="00B4630E"/>
    <w:rsid w:val="00B46741"/>
    <w:rsid w:val="00B516A6"/>
    <w:rsid w:val="00B52B89"/>
    <w:rsid w:val="00B52E33"/>
    <w:rsid w:val="00B7001E"/>
    <w:rsid w:val="00B7495E"/>
    <w:rsid w:val="00B815C4"/>
    <w:rsid w:val="00B82775"/>
    <w:rsid w:val="00B84670"/>
    <w:rsid w:val="00B84FEF"/>
    <w:rsid w:val="00B87C01"/>
    <w:rsid w:val="00B97FB8"/>
    <w:rsid w:val="00BA0564"/>
    <w:rsid w:val="00BA0797"/>
    <w:rsid w:val="00BA15CC"/>
    <w:rsid w:val="00BA3695"/>
    <w:rsid w:val="00BA4B97"/>
    <w:rsid w:val="00BA5A2D"/>
    <w:rsid w:val="00BB2D62"/>
    <w:rsid w:val="00BC6B3A"/>
    <w:rsid w:val="00BD63BB"/>
    <w:rsid w:val="00BE6771"/>
    <w:rsid w:val="00BF03F4"/>
    <w:rsid w:val="00BF0E94"/>
    <w:rsid w:val="00BF4A5A"/>
    <w:rsid w:val="00BF7421"/>
    <w:rsid w:val="00C00E90"/>
    <w:rsid w:val="00C04BFA"/>
    <w:rsid w:val="00C07B4A"/>
    <w:rsid w:val="00C1190A"/>
    <w:rsid w:val="00C142E9"/>
    <w:rsid w:val="00C15B03"/>
    <w:rsid w:val="00C17E0D"/>
    <w:rsid w:val="00C215A8"/>
    <w:rsid w:val="00C24322"/>
    <w:rsid w:val="00C33A3C"/>
    <w:rsid w:val="00C36C9C"/>
    <w:rsid w:val="00C43656"/>
    <w:rsid w:val="00C543AD"/>
    <w:rsid w:val="00C6068F"/>
    <w:rsid w:val="00C63D85"/>
    <w:rsid w:val="00C67AC0"/>
    <w:rsid w:val="00C83439"/>
    <w:rsid w:val="00C8582A"/>
    <w:rsid w:val="00C87E0B"/>
    <w:rsid w:val="00C9299F"/>
    <w:rsid w:val="00C938D2"/>
    <w:rsid w:val="00C946DA"/>
    <w:rsid w:val="00C95BF9"/>
    <w:rsid w:val="00C96821"/>
    <w:rsid w:val="00CA123E"/>
    <w:rsid w:val="00CB2ADD"/>
    <w:rsid w:val="00CB3BC8"/>
    <w:rsid w:val="00CB4785"/>
    <w:rsid w:val="00CB788F"/>
    <w:rsid w:val="00CC2583"/>
    <w:rsid w:val="00CC2D34"/>
    <w:rsid w:val="00CC3602"/>
    <w:rsid w:val="00CC4865"/>
    <w:rsid w:val="00CC5778"/>
    <w:rsid w:val="00CC59EB"/>
    <w:rsid w:val="00CC7480"/>
    <w:rsid w:val="00CE5A96"/>
    <w:rsid w:val="00CF4EE2"/>
    <w:rsid w:val="00CF58DB"/>
    <w:rsid w:val="00D00146"/>
    <w:rsid w:val="00D03636"/>
    <w:rsid w:val="00D0473D"/>
    <w:rsid w:val="00D05DB3"/>
    <w:rsid w:val="00D126D4"/>
    <w:rsid w:val="00D13F26"/>
    <w:rsid w:val="00D14288"/>
    <w:rsid w:val="00D17B89"/>
    <w:rsid w:val="00D222EC"/>
    <w:rsid w:val="00D244B1"/>
    <w:rsid w:val="00D30B33"/>
    <w:rsid w:val="00D3404A"/>
    <w:rsid w:val="00D404CD"/>
    <w:rsid w:val="00D40F29"/>
    <w:rsid w:val="00D50254"/>
    <w:rsid w:val="00D50617"/>
    <w:rsid w:val="00D50F37"/>
    <w:rsid w:val="00D51536"/>
    <w:rsid w:val="00D57CCD"/>
    <w:rsid w:val="00D60B5C"/>
    <w:rsid w:val="00D62A54"/>
    <w:rsid w:val="00D65B61"/>
    <w:rsid w:val="00D6634D"/>
    <w:rsid w:val="00D66D16"/>
    <w:rsid w:val="00D67FFD"/>
    <w:rsid w:val="00D75039"/>
    <w:rsid w:val="00D75082"/>
    <w:rsid w:val="00D773F9"/>
    <w:rsid w:val="00D84FBD"/>
    <w:rsid w:val="00D85FAB"/>
    <w:rsid w:val="00D87777"/>
    <w:rsid w:val="00DA48B8"/>
    <w:rsid w:val="00DB2424"/>
    <w:rsid w:val="00DB6403"/>
    <w:rsid w:val="00DB6784"/>
    <w:rsid w:val="00DB7469"/>
    <w:rsid w:val="00DC0726"/>
    <w:rsid w:val="00DC1686"/>
    <w:rsid w:val="00DC2437"/>
    <w:rsid w:val="00DC251D"/>
    <w:rsid w:val="00DC383F"/>
    <w:rsid w:val="00DC7BDA"/>
    <w:rsid w:val="00DD02A1"/>
    <w:rsid w:val="00DD46CA"/>
    <w:rsid w:val="00DD5A30"/>
    <w:rsid w:val="00DE2018"/>
    <w:rsid w:val="00DE2A10"/>
    <w:rsid w:val="00DE5475"/>
    <w:rsid w:val="00DF0C4A"/>
    <w:rsid w:val="00DF196B"/>
    <w:rsid w:val="00DF2678"/>
    <w:rsid w:val="00DF629F"/>
    <w:rsid w:val="00E01302"/>
    <w:rsid w:val="00E01647"/>
    <w:rsid w:val="00E05343"/>
    <w:rsid w:val="00E11B77"/>
    <w:rsid w:val="00E120E1"/>
    <w:rsid w:val="00E13E8E"/>
    <w:rsid w:val="00E150E4"/>
    <w:rsid w:val="00E1516A"/>
    <w:rsid w:val="00E15424"/>
    <w:rsid w:val="00E2079C"/>
    <w:rsid w:val="00E20803"/>
    <w:rsid w:val="00E20B7E"/>
    <w:rsid w:val="00E240C2"/>
    <w:rsid w:val="00E25DEF"/>
    <w:rsid w:val="00E25F2E"/>
    <w:rsid w:val="00E30218"/>
    <w:rsid w:val="00E32C01"/>
    <w:rsid w:val="00E365A7"/>
    <w:rsid w:val="00E37C3C"/>
    <w:rsid w:val="00E419A4"/>
    <w:rsid w:val="00E443A6"/>
    <w:rsid w:val="00E51613"/>
    <w:rsid w:val="00E60DF1"/>
    <w:rsid w:val="00E61288"/>
    <w:rsid w:val="00E64320"/>
    <w:rsid w:val="00E65C28"/>
    <w:rsid w:val="00E71A41"/>
    <w:rsid w:val="00E74F3E"/>
    <w:rsid w:val="00E7623B"/>
    <w:rsid w:val="00E82A6B"/>
    <w:rsid w:val="00E94C95"/>
    <w:rsid w:val="00E957E8"/>
    <w:rsid w:val="00E959B8"/>
    <w:rsid w:val="00E96A8C"/>
    <w:rsid w:val="00E973B9"/>
    <w:rsid w:val="00EA0C9C"/>
    <w:rsid w:val="00EA6ADB"/>
    <w:rsid w:val="00EA7F49"/>
    <w:rsid w:val="00EB0B7F"/>
    <w:rsid w:val="00EB19AA"/>
    <w:rsid w:val="00EB468F"/>
    <w:rsid w:val="00EC4763"/>
    <w:rsid w:val="00EC7B74"/>
    <w:rsid w:val="00EC7DF1"/>
    <w:rsid w:val="00ED412B"/>
    <w:rsid w:val="00ED6E35"/>
    <w:rsid w:val="00EE0240"/>
    <w:rsid w:val="00EE1417"/>
    <w:rsid w:val="00EE25DE"/>
    <w:rsid w:val="00EE4E7A"/>
    <w:rsid w:val="00EE7FF1"/>
    <w:rsid w:val="00EF11A4"/>
    <w:rsid w:val="00EF4C33"/>
    <w:rsid w:val="00F015FE"/>
    <w:rsid w:val="00F03BFA"/>
    <w:rsid w:val="00F0770F"/>
    <w:rsid w:val="00F07C5D"/>
    <w:rsid w:val="00F10092"/>
    <w:rsid w:val="00F10AF1"/>
    <w:rsid w:val="00F131AD"/>
    <w:rsid w:val="00F1370A"/>
    <w:rsid w:val="00F2060E"/>
    <w:rsid w:val="00F21795"/>
    <w:rsid w:val="00F244B6"/>
    <w:rsid w:val="00F33ABF"/>
    <w:rsid w:val="00F34F2D"/>
    <w:rsid w:val="00F359BD"/>
    <w:rsid w:val="00F415C5"/>
    <w:rsid w:val="00F44BE6"/>
    <w:rsid w:val="00F45D5A"/>
    <w:rsid w:val="00F4659F"/>
    <w:rsid w:val="00F57823"/>
    <w:rsid w:val="00F60691"/>
    <w:rsid w:val="00F60AC2"/>
    <w:rsid w:val="00F62C77"/>
    <w:rsid w:val="00F62DFB"/>
    <w:rsid w:val="00F65747"/>
    <w:rsid w:val="00F65D94"/>
    <w:rsid w:val="00F66DE6"/>
    <w:rsid w:val="00F7493A"/>
    <w:rsid w:val="00F76D84"/>
    <w:rsid w:val="00F772CE"/>
    <w:rsid w:val="00F777F8"/>
    <w:rsid w:val="00F80FFF"/>
    <w:rsid w:val="00F83D50"/>
    <w:rsid w:val="00F8497F"/>
    <w:rsid w:val="00F86120"/>
    <w:rsid w:val="00F861B9"/>
    <w:rsid w:val="00F91CC3"/>
    <w:rsid w:val="00F96076"/>
    <w:rsid w:val="00FA18E3"/>
    <w:rsid w:val="00FA19E7"/>
    <w:rsid w:val="00FA1E10"/>
    <w:rsid w:val="00FA7289"/>
    <w:rsid w:val="00FB3DE8"/>
    <w:rsid w:val="00FB4DDB"/>
    <w:rsid w:val="00FC0776"/>
    <w:rsid w:val="00FC310D"/>
    <w:rsid w:val="00FC32B1"/>
    <w:rsid w:val="00FD283E"/>
    <w:rsid w:val="00FD5989"/>
    <w:rsid w:val="00FE0F98"/>
    <w:rsid w:val="00FE46F0"/>
    <w:rsid w:val="00FE5A82"/>
    <w:rsid w:val="00FF10B4"/>
    <w:rsid w:val="00FF4FE4"/>
    <w:rsid w:val="00FF54E9"/>
    <w:rsid w:val="00FF71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ajorHAns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4D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64D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D93"/>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ajorHAns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4D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64D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D93"/>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F:\CUP%20Book\To_deliver\Online%20exercises\Length%20of%20UK%20coastline\lengths_area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trendline>
            <c:trendlineType val="exp"/>
            <c:dispRSqr val="0"/>
            <c:dispEq val="0"/>
          </c:trendline>
          <c:xVal>
            <c:numRef>
              <c:f>Sheet1!$B$3:$B$6</c:f>
              <c:numCache>
                <c:formatCode>General</c:formatCode>
                <c:ptCount val="4"/>
                <c:pt idx="0">
                  <c:v>4.0000000000000001E-8</c:v>
                </c:pt>
                <c:pt idx="1">
                  <c:v>3.3333333333333334E-8</c:v>
                </c:pt>
                <c:pt idx="2">
                  <c:v>2E-8</c:v>
                </c:pt>
                <c:pt idx="3">
                  <c:v>1.0000000000000001E-9</c:v>
                </c:pt>
              </c:numCache>
            </c:numRef>
          </c:xVal>
          <c:yVal>
            <c:numRef>
              <c:f>Sheet1!$G$3:$G$6</c:f>
              <c:numCache>
                <c:formatCode>General</c:formatCode>
                <c:ptCount val="4"/>
                <c:pt idx="0">
                  <c:v>8.8844717181391601</c:v>
                </c:pt>
                <c:pt idx="1">
                  <c:v>8.7013464030391621</c:v>
                </c:pt>
                <c:pt idx="2">
                  <c:v>8.6619859363177785</c:v>
                </c:pt>
                <c:pt idx="3">
                  <c:v>8.5996944129279811</c:v>
                </c:pt>
              </c:numCache>
            </c:numRef>
          </c:yVal>
          <c:smooth val="0"/>
        </c:ser>
        <c:dLbls>
          <c:showLegendKey val="0"/>
          <c:showVal val="0"/>
          <c:showCatName val="0"/>
          <c:showSerName val="0"/>
          <c:showPercent val="0"/>
          <c:showBubbleSize val="0"/>
        </c:dLbls>
        <c:axId val="131842048"/>
        <c:axId val="131843584"/>
      </c:scatterChart>
      <c:valAx>
        <c:axId val="131842048"/>
        <c:scaling>
          <c:orientation val="minMax"/>
        </c:scaling>
        <c:delete val="0"/>
        <c:axPos val="b"/>
        <c:numFmt formatCode="General" sourceLinked="1"/>
        <c:majorTickMark val="out"/>
        <c:minorTickMark val="none"/>
        <c:tickLblPos val="nextTo"/>
        <c:crossAx val="131843584"/>
        <c:crosses val="autoZero"/>
        <c:crossBetween val="midCat"/>
      </c:valAx>
      <c:valAx>
        <c:axId val="131843584"/>
        <c:scaling>
          <c:orientation val="minMax"/>
        </c:scaling>
        <c:delete val="0"/>
        <c:axPos val="l"/>
        <c:numFmt formatCode="General" sourceLinked="1"/>
        <c:majorTickMark val="out"/>
        <c:minorTickMark val="none"/>
        <c:tickLblPos val="nextTo"/>
        <c:crossAx val="13184204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Wollongong</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Hamylton</dc:creator>
  <cp:lastModifiedBy>Sarah Hamylton</cp:lastModifiedBy>
  <cp:revision>1</cp:revision>
  <dcterms:created xsi:type="dcterms:W3CDTF">2016-08-15T02:33:00Z</dcterms:created>
  <dcterms:modified xsi:type="dcterms:W3CDTF">2016-08-15T03:49:00Z</dcterms:modified>
</cp:coreProperties>
</file>