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C3" w:rsidRDefault="00332DA1"/>
    <w:p w:rsidR="00332DA1" w:rsidRPr="00332DA1" w:rsidRDefault="00332DA1">
      <w:pPr>
        <w:rPr>
          <w:rFonts w:ascii="Times New Roman" w:hAnsi="Times New Roman" w:cs="Times New Roman"/>
          <w:sz w:val="24"/>
          <w:szCs w:val="24"/>
        </w:rPr>
      </w:pPr>
      <w:r w:rsidRPr="00454762">
        <w:rPr>
          <w:noProof/>
          <w:szCs w:val="24"/>
          <w:lang w:eastAsia="en-GB"/>
        </w:rPr>
        <w:drawing>
          <wp:inline distT="0" distB="0" distL="0" distR="0" wp14:anchorId="297980DD" wp14:editId="3551750E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332DA1" w:rsidRPr="00332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A1"/>
    <w:rsid w:val="001A7631"/>
    <w:rsid w:val="00332DA1"/>
    <w:rsid w:val="0044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chard%20Macphail\Documents\February%202012\Rich%20Nov2004_December2011\Publications\Tours%202011-2012\Dark%20earth%20Che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Sheet1!$C$48</c:f>
              <c:strCache>
                <c:ptCount val="1"/>
                <c:pt idx="0">
                  <c:v>Primary DE</c:v>
                </c:pt>
              </c:strCache>
            </c:strRef>
          </c:tx>
          <c:invertIfNegative val="0"/>
          <c:cat>
            <c:strRef>
              <c:f>Sheet1!$B$49:$B$54</c:f>
              <c:strCache>
                <c:ptCount val="6"/>
                <c:pt idx="0">
                  <c:v>%LOI</c:v>
                </c:pt>
                <c:pt idx="1">
                  <c:v>%MSconv</c:v>
                </c:pt>
                <c:pt idx="2">
                  <c:v>P mg/g</c:v>
                </c:pt>
                <c:pt idx="3">
                  <c:v>Pb ppm</c:v>
                </c:pt>
                <c:pt idx="4">
                  <c:v>Zn ppm</c:v>
                </c:pt>
                <c:pt idx="5">
                  <c:v>Cu ppm</c:v>
                </c:pt>
              </c:strCache>
            </c:strRef>
          </c:cat>
          <c:val>
            <c:numRef>
              <c:f>Sheet1!$C$49:$C$54</c:f>
              <c:numCache>
                <c:formatCode>General</c:formatCode>
                <c:ptCount val="6"/>
                <c:pt idx="0">
                  <c:v>1.79</c:v>
                </c:pt>
                <c:pt idx="1">
                  <c:v>0.6</c:v>
                </c:pt>
                <c:pt idx="2">
                  <c:v>2.39</c:v>
                </c:pt>
                <c:pt idx="3">
                  <c:v>132</c:v>
                </c:pt>
                <c:pt idx="4">
                  <c:v>15.6</c:v>
                </c:pt>
                <c:pt idx="5">
                  <c:v>34.299999999999997</c:v>
                </c:pt>
              </c:numCache>
            </c:numRef>
          </c:val>
        </c:ser>
        <c:ser>
          <c:idx val="1"/>
          <c:order val="1"/>
          <c:tx>
            <c:strRef>
              <c:f>Sheet1!$D$48</c:f>
              <c:strCache>
                <c:ptCount val="1"/>
                <c:pt idx="0">
                  <c:v>Secondary DE</c:v>
                </c:pt>
              </c:strCache>
            </c:strRef>
          </c:tx>
          <c:invertIfNegative val="0"/>
          <c:cat>
            <c:strRef>
              <c:f>Sheet1!$B$49:$B$54</c:f>
              <c:strCache>
                <c:ptCount val="6"/>
                <c:pt idx="0">
                  <c:v>%LOI</c:v>
                </c:pt>
                <c:pt idx="1">
                  <c:v>%MSconv</c:v>
                </c:pt>
                <c:pt idx="2">
                  <c:v>P mg/g</c:v>
                </c:pt>
                <c:pt idx="3">
                  <c:v>Pb ppm</c:v>
                </c:pt>
                <c:pt idx="4">
                  <c:v>Zn ppm</c:v>
                </c:pt>
                <c:pt idx="5">
                  <c:v>Cu ppm</c:v>
                </c:pt>
              </c:strCache>
            </c:strRef>
          </c:cat>
          <c:val>
            <c:numRef>
              <c:f>Sheet1!$D$49:$D$54</c:f>
              <c:numCache>
                <c:formatCode>General</c:formatCode>
                <c:ptCount val="6"/>
                <c:pt idx="0">
                  <c:v>2.4</c:v>
                </c:pt>
                <c:pt idx="1">
                  <c:v>4.0999999999999996</c:v>
                </c:pt>
                <c:pt idx="2">
                  <c:v>4.49</c:v>
                </c:pt>
                <c:pt idx="3">
                  <c:v>363</c:v>
                </c:pt>
                <c:pt idx="4">
                  <c:v>44.6</c:v>
                </c:pt>
                <c:pt idx="5">
                  <c:v>73</c:v>
                </c:pt>
              </c:numCache>
            </c:numRef>
          </c:val>
        </c:ser>
        <c:ser>
          <c:idx val="2"/>
          <c:order val="2"/>
          <c:tx>
            <c:strRef>
              <c:f>Sheet1!$E$48</c:f>
              <c:strCache>
                <c:ptCount val="1"/>
                <c:pt idx="0">
                  <c:v>Tertiary DE</c:v>
                </c:pt>
              </c:strCache>
            </c:strRef>
          </c:tx>
          <c:invertIfNegative val="0"/>
          <c:cat>
            <c:strRef>
              <c:f>Sheet1!$B$49:$B$54</c:f>
              <c:strCache>
                <c:ptCount val="6"/>
                <c:pt idx="0">
                  <c:v>%LOI</c:v>
                </c:pt>
                <c:pt idx="1">
                  <c:v>%MSconv</c:v>
                </c:pt>
                <c:pt idx="2">
                  <c:v>P mg/g</c:v>
                </c:pt>
                <c:pt idx="3">
                  <c:v>Pb ppm</c:v>
                </c:pt>
                <c:pt idx="4">
                  <c:v>Zn ppm</c:v>
                </c:pt>
                <c:pt idx="5">
                  <c:v>Cu ppm</c:v>
                </c:pt>
              </c:strCache>
            </c:strRef>
          </c:cat>
          <c:val>
            <c:numRef>
              <c:f>Sheet1!$E$49:$E$54</c:f>
              <c:numCache>
                <c:formatCode>General</c:formatCode>
                <c:ptCount val="6"/>
                <c:pt idx="0">
                  <c:v>4.2</c:v>
                </c:pt>
                <c:pt idx="1">
                  <c:v>13.5</c:v>
                </c:pt>
                <c:pt idx="2">
                  <c:v>7.6</c:v>
                </c:pt>
                <c:pt idx="3">
                  <c:v>1045</c:v>
                </c:pt>
                <c:pt idx="4">
                  <c:v>68</c:v>
                </c:pt>
                <c:pt idx="5">
                  <c:v>220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504896"/>
        <c:axId val="163506432"/>
      </c:barChart>
      <c:catAx>
        <c:axId val="163504896"/>
        <c:scaling>
          <c:orientation val="minMax"/>
        </c:scaling>
        <c:delete val="0"/>
        <c:axPos val="l"/>
        <c:majorTickMark val="out"/>
        <c:minorTickMark val="none"/>
        <c:tickLblPos val="nextTo"/>
        <c:crossAx val="163506432"/>
        <c:crosses val="autoZero"/>
        <c:auto val="1"/>
        <c:lblAlgn val="ctr"/>
        <c:lblOffset val="100"/>
        <c:noMultiLvlLbl val="0"/>
      </c:catAx>
      <c:valAx>
        <c:axId val="16350643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63504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Reviewer 1</cp:lastModifiedBy>
  <cp:revision>1</cp:revision>
  <dcterms:created xsi:type="dcterms:W3CDTF">2015-10-15T05:55:00Z</dcterms:created>
  <dcterms:modified xsi:type="dcterms:W3CDTF">2015-10-15T05:57:00Z</dcterms:modified>
</cp:coreProperties>
</file>