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73CF3" w14:textId="77777777" w:rsidR="009C62CC" w:rsidRPr="009C62CC" w:rsidRDefault="009C62CC" w:rsidP="009C62CC">
      <w:pPr>
        <w:widowControl w:val="0"/>
        <w:jc w:val="center"/>
        <w:rPr>
          <w:b/>
          <w:sz w:val="28"/>
        </w:rPr>
      </w:pPr>
      <w:r w:rsidRPr="009C62CC">
        <w:rPr>
          <w:b/>
          <w:sz w:val="28"/>
        </w:rPr>
        <w:t>Chapter 9</w:t>
      </w:r>
    </w:p>
    <w:p w14:paraId="749A2A90" w14:textId="77777777" w:rsidR="009C62CC" w:rsidRPr="009C62CC" w:rsidRDefault="009C62CC" w:rsidP="009C62CC">
      <w:pPr>
        <w:widowControl w:val="0"/>
        <w:jc w:val="center"/>
        <w:rPr>
          <w:b/>
          <w:sz w:val="28"/>
        </w:rPr>
      </w:pPr>
      <w:r w:rsidRPr="009C62CC">
        <w:rPr>
          <w:b/>
          <w:sz w:val="28"/>
        </w:rPr>
        <w:t>Supplement 9B</w:t>
      </w:r>
      <w:bookmarkStart w:id="0" w:name="_GoBack"/>
      <w:bookmarkEnd w:id="0"/>
    </w:p>
    <w:p w14:paraId="595FD2EB" w14:textId="77777777" w:rsidR="009C62CC" w:rsidRDefault="009C62CC" w:rsidP="009C62CC">
      <w:pPr>
        <w:widowControl w:val="0"/>
        <w:rPr>
          <w:b/>
        </w:rPr>
      </w:pPr>
    </w:p>
    <w:p w14:paraId="4C2B5DE8" w14:textId="77777777" w:rsidR="00246525" w:rsidRPr="00FB75B1" w:rsidRDefault="00246525" w:rsidP="009C62CC">
      <w:pPr>
        <w:widowControl w:val="0"/>
        <w:rPr>
          <w:b/>
        </w:rPr>
      </w:pPr>
      <w:r>
        <w:rPr>
          <w:b/>
        </w:rPr>
        <w:t>Table 9.2</w:t>
      </w:r>
      <w:r w:rsidRPr="00A45FAE">
        <w:rPr>
          <w:b/>
        </w:rPr>
        <w:t xml:space="preserve">. </w:t>
      </w:r>
      <w:r w:rsidRPr="00A45FAE">
        <w:t>Parameters used in the simulations</w:t>
      </w:r>
      <w:r>
        <w:t>. See online supplement 9A for details of the methods used to derive parameters.</w:t>
      </w:r>
    </w:p>
    <w:p w14:paraId="36BE73A2" w14:textId="77777777" w:rsidR="00246525" w:rsidRDefault="00246525" w:rsidP="009C62CC">
      <w:pPr>
        <w:widowControl w:val="0"/>
      </w:pPr>
    </w:p>
    <w:tbl>
      <w:tblPr>
        <w:tblW w:w="9720" w:type="dxa"/>
        <w:tblInd w:w="-6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609"/>
        <w:gridCol w:w="1541"/>
        <w:gridCol w:w="1530"/>
        <w:gridCol w:w="1530"/>
        <w:gridCol w:w="1710"/>
      </w:tblGrid>
      <w:tr w:rsidR="00246525" w:rsidRPr="00030AF4" w14:paraId="171B021C" w14:textId="77777777">
        <w:trPr>
          <w:trHeight w:val="330"/>
        </w:trPr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4366EC56" w14:textId="77777777" w:rsidR="00246525" w:rsidRPr="00602F4C" w:rsidRDefault="00246525" w:rsidP="009C62CC">
            <w:pPr>
              <w:widowControl w:val="0"/>
              <w:rPr>
                <w:b/>
                <w:bCs/>
                <w:sz w:val="22"/>
              </w:rPr>
            </w:pP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5E857AF4" w14:textId="77777777" w:rsidR="00246525" w:rsidRPr="00602F4C" w:rsidRDefault="00246525" w:rsidP="009C62CC">
            <w:pPr>
              <w:widowControl w:val="0"/>
              <w:jc w:val="center"/>
              <w:rPr>
                <w:b/>
                <w:sz w:val="22"/>
              </w:rPr>
            </w:pPr>
            <w:r w:rsidRPr="00602F4C">
              <w:rPr>
                <w:b/>
                <w:sz w:val="22"/>
              </w:rPr>
              <w:t>Run 1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41CAC911" w14:textId="77777777" w:rsidR="00246525" w:rsidRPr="00602F4C" w:rsidRDefault="00246525" w:rsidP="009C62CC">
            <w:pPr>
              <w:widowControl w:val="0"/>
              <w:jc w:val="center"/>
              <w:rPr>
                <w:b/>
                <w:sz w:val="22"/>
              </w:rPr>
            </w:pPr>
            <w:r w:rsidRPr="00602F4C">
              <w:rPr>
                <w:b/>
                <w:sz w:val="22"/>
              </w:rPr>
              <w:t>Run 2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1B9076A2" w14:textId="77777777" w:rsidR="00246525" w:rsidRPr="00602F4C" w:rsidRDefault="00246525" w:rsidP="009C62CC">
            <w:pPr>
              <w:widowControl w:val="0"/>
              <w:jc w:val="center"/>
              <w:rPr>
                <w:b/>
                <w:sz w:val="22"/>
              </w:rPr>
            </w:pPr>
            <w:r w:rsidRPr="00602F4C">
              <w:rPr>
                <w:b/>
                <w:sz w:val="22"/>
              </w:rPr>
              <w:t>Run 3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1023D615" w14:textId="77777777" w:rsidR="00246525" w:rsidRPr="00602F4C" w:rsidRDefault="00246525" w:rsidP="009C62CC">
            <w:pPr>
              <w:widowControl w:val="0"/>
              <w:jc w:val="center"/>
              <w:rPr>
                <w:b/>
                <w:sz w:val="22"/>
              </w:rPr>
            </w:pPr>
            <w:r w:rsidRPr="00602F4C">
              <w:rPr>
                <w:b/>
                <w:sz w:val="22"/>
              </w:rPr>
              <w:t>Run 4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49D8A411" w14:textId="77777777" w:rsidR="00246525" w:rsidRPr="00602F4C" w:rsidRDefault="00246525" w:rsidP="009C62CC">
            <w:pPr>
              <w:widowControl w:val="0"/>
              <w:jc w:val="center"/>
              <w:rPr>
                <w:b/>
                <w:sz w:val="22"/>
              </w:rPr>
            </w:pPr>
            <w:r w:rsidRPr="00602F4C">
              <w:rPr>
                <w:b/>
                <w:sz w:val="22"/>
              </w:rPr>
              <w:t>Run 5</w:t>
            </w:r>
          </w:p>
        </w:tc>
      </w:tr>
      <w:tr w:rsidR="00246525" w14:paraId="49A9BE9D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022CAF29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</w:rPr>
            </w:pPr>
            <w:r w:rsidRPr="00602F4C">
              <w:rPr>
                <w:sz w:val="22"/>
              </w:rPr>
              <w:t>Model</w:t>
            </w: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07487A36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Strong Plume</w:t>
            </w:r>
            <w:r w:rsidRPr="00602F4C">
              <w:rPr>
                <w:sz w:val="22"/>
                <w:vertAlign w:val="superscript"/>
              </w:rPr>
              <w:t>(1)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02851395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TEPHRA2</w:t>
            </w:r>
          </w:p>
          <w:p w14:paraId="464CFACF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(i</w:t>
            </w:r>
            <w:r w:rsidRPr="00602F4C">
              <w:rPr>
                <w:sz w:val="22"/>
              </w:rPr>
              <w:t>nversion)</w:t>
            </w:r>
            <w:r w:rsidRPr="00602F4C">
              <w:rPr>
                <w:sz w:val="22"/>
                <w:vertAlign w:val="superscript"/>
              </w:rPr>
              <w:t>(2)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123EB0EC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TEPHRA2</w:t>
            </w:r>
          </w:p>
          <w:p w14:paraId="0A160988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(i</w:t>
            </w:r>
            <w:r w:rsidRPr="00602F4C">
              <w:rPr>
                <w:sz w:val="22"/>
              </w:rPr>
              <w:t>nversion)</w:t>
            </w:r>
            <w:r w:rsidRPr="00602F4C">
              <w:rPr>
                <w:sz w:val="22"/>
                <w:vertAlign w:val="superscript"/>
              </w:rPr>
              <w:t>(2)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0A7857F0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TEPHRA2</w:t>
            </w:r>
          </w:p>
          <w:p w14:paraId="45D24823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(f</w:t>
            </w:r>
            <w:r w:rsidRPr="00602F4C">
              <w:rPr>
                <w:sz w:val="22"/>
              </w:rPr>
              <w:t>orward)</w:t>
            </w:r>
            <w:r w:rsidRPr="00602F4C">
              <w:rPr>
                <w:sz w:val="22"/>
                <w:vertAlign w:val="superscript"/>
              </w:rPr>
              <w:t>(3)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2F26382A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FALL3D</w:t>
            </w:r>
          </w:p>
          <w:p w14:paraId="684567BD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(f</w:t>
            </w:r>
            <w:r w:rsidRPr="00602F4C">
              <w:rPr>
                <w:sz w:val="22"/>
              </w:rPr>
              <w:t>orward)</w:t>
            </w:r>
            <w:r w:rsidRPr="00602F4C">
              <w:rPr>
                <w:sz w:val="22"/>
                <w:vertAlign w:val="superscript"/>
              </w:rPr>
              <w:t>(4)</w:t>
            </w:r>
          </w:p>
        </w:tc>
      </w:tr>
      <w:tr w:rsidR="00246525" w:rsidRPr="000B551B" w14:paraId="0D6311D3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100257AB" w14:textId="77777777" w:rsidR="00246525" w:rsidRPr="00602F4C" w:rsidRDefault="00246525" w:rsidP="009C62CC">
            <w:pPr>
              <w:widowControl w:val="0"/>
              <w:spacing w:after="120"/>
              <w:rPr>
                <w:bCs/>
                <w:sz w:val="22"/>
              </w:rPr>
            </w:pPr>
            <w:r w:rsidRPr="00602F4C">
              <w:rPr>
                <w:bCs/>
                <w:sz w:val="22"/>
              </w:rPr>
              <w:t>Grainsize</w:t>
            </w:r>
            <w:r>
              <w:rPr>
                <w:bCs/>
                <w:sz w:val="22"/>
              </w:rPr>
              <w:t xml:space="preserve"> distribution</w:t>
            </w:r>
          </w:p>
          <w:p w14:paraId="44E9EB4D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</w:rPr>
            </w:pP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5CF4BAF1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GS Etna 1998</w:t>
            </w:r>
            <w:r w:rsidRPr="00602F4C">
              <w:rPr>
                <w:sz w:val="22"/>
                <w:vertAlign w:val="superscript"/>
              </w:rPr>
              <w:t>(5)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33B4A4D1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szCs w:val="22"/>
              </w:rPr>
            </w:pPr>
            <w:r w:rsidRPr="00602F4C">
              <w:rPr>
                <w:sz w:val="22"/>
              </w:rPr>
              <w:t>Md</w:t>
            </w:r>
            <w:r w:rsidRPr="00602F4C">
              <w:rPr>
                <w:rFonts w:ascii="Symbol" w:hAnsi="Symbol"/>
                <w:sz w:val="22"/>
              </w:rPr>
              <w:t></w:t>
            </w:r>
            <w:r w:rsidRPr="00602F4C">
              <w:rPr>
                <w:sz w:val="22"/>
                <w:vertAlign w:val="superscript"/>
              </w:rPr>
              <w:t>(6)</w:t>
            </w:r>
          </w:p>
          <w:p w14:paraId="3423A3AB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(-3–3)</w:t>
            </w:r>
          </w:p>
          <w:p w14:paraId="564AA45F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STDV</w:t>
            </w:r>
            <w:r w:rsidRPr="00602F4C">
              <w:rPr>
                <w:sz w:val="22"/>
                <w:vertAlign w:val="superscript"/>
              </w:rPr>
              <w:t>(6)</w:t>
            </w:r>
          </w:p>
          <w:p w14:paraId="0890B4C5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(1–</w:t>
            </w:r>
            <w:r w:rsidRPr="00602F4C">
              <w:rPr>
                <w:sz w:val="22"/>
              </w:rPr>
              <w:t>3)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32739E64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szCs w:val="22"/>
              </w:rPr>
            </w:pPr>
            <w:r w:rsidRPr="00602F4C">
              <w:rPr>
                <w:sz w:val="22"/>
              </w:rPr>
              <w:t>Md</w:t>
            </w:r>
            <w:r w:rsidRPr="00602F4C">
              <w:rPr>
                <w:rFonts w:ascii="Symbol" w:hAnsi="Symbol"/>
                <w:sz w:val="22"/>
              </w:rPr>
              <w:t></w:t>
            </w:r>
            <w:r w:rsidRPr="00602F4C">
              <w:rPr>
                <w:sz w:val="22"/>
                <w:vertAlign w:val="superscript"/>
              </w:rPr>
              <w:t>(6)</w:t>
            </w:r>
          </w:p>
          <w:p w14:paraId="18903E58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(-3</w:t>
            </w:r>
            <w:r w:rsidRPr="00602F4C">
              <w:rPr>
                <w:sz w:val="22"/>
              </w:rPr>
              <w:t>–3)</w:t>
            </w:r>
          </w:p>
          <w:p w14:paraId="70B46B8A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STDV</w:t>
            </w:r>
            <w:r w:rsidRPr="00602F4C">
              <w:rPr>
                <w:sz w:val="22"/>
                <w:vertAlign w:val="superscript"/>
              </w:rPr>
              <w:t>(6)</w:t>
            </w:r>
          </w:p>
          <w:p w14:paraId="548E8877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(1</w:t>
            </w:r>
            <w:r w:rsidRPr="00602F4C">
              <w:rPr>
                <w:sz w:val="22"/>
              </w:rPr>
              <w:t>–3)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7B161677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szCs w:val="22"/>
              </w:rPr>
            </w:pPr>
            <w:r w:rsidRPr="00602F4C">
              <w:rPr>
                <w:sz w:val="22"/>
              </w:rPr>
              <w:t>Md</w:t>
            </w:r>
            <w:r w:rsidRPr="00602F4C">
              <w:rPr>
                <w:rFonts w:ascii="Symbol" w:hAnsi="Symbol"/>
                <w:sz w:val="22"/>
              </w:rPr>
              <w:t></w:t>
            </w:r>
            <w:r w:rsidRPr="00602F4C">
              <w:rPr>
                <w:sz w:val="22"/>
                <w:vertAlign w:val="superscript"/>
              </w:rPr>
              <w:t>(6)</w:t>
            </w:r>
          </w:p>
          <w:p w14:paraId="1968E040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 xml:space="preserve"> (-0.6)</w:t>
            </w:r>
          </w:p>
          <w:p w14:paraId="676FA507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STDV</w:t>
            </w:r>
            <w:r w:rsidRPr="00602F4C">
              <w:rPr>
                <w:sz w:val="22"/>
                <w:vertAlign w:val="superscript"/>
              </w:rPr>
              <w:t>(6)</w:t>
            </w:r>
          </w:p>
          <w:p w14:paraId="411AFD12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(2.2)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436B7B39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GS Etna 1998</w:t>
            </w:r>
            <w:r w:rsidRPr="00602F4C">
              <w:rPr>
                <w:sz w:val="22"/>
                <w:vertAlign w:val="superscript"/>
              </w:rPr>
              <w:t>(5)</w:t>
            </w:r>
          </w:p>
        </w:tc>
      </w:tr>
      <w:tr w:rsidR="00246525" w:rsidRPr="004C083F" w14:paraId="0F57341F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2CAF9682" w14:textId="77777777" w:rsidR="00246525" w:rsidRPr="00602F4C" w:rsidRDefault="00246525" w:rsidP="009C62CC">
            <w:pPr>
              <w:widowControl w:val="0"/>
              <w:spacing w:after="120"/>
              <w:rPr>
                <w:bCs/>
                <w:sz w:val="22"/>
              </w:rPr>
            </w:pPr>
            <w:r w:rsidRPr="00602F4C">
              <w:rPr>
                <w:bCs/>
                <w:sz w:val="22"/>
              </w:rPr>
              <w:t xml:space="preserve">Plume </w:t>
            </w:r>
            <w:r>
              <w:rPr>
                <w:bCs/>
                <w:sz w:val="22"/>
              </w:rPr>
              <w:t>h</w:t>
            </w:r>
            <w:r w:rsidRPr="00602F4C">
              <w:rPr>
                <w:bCs/>
                <w:sz w:val="22"/>
              </w:rPr>
              <w:t xml:space="preserve">eight </w:t>
            </w:r>
            <w:r w:rsidRPr="00602F4C">
              <w:rPr>
                <w:bCs/>
                <w:i/>
                <w:sz w:val="22"/>
              </w:rPr>
              <w:t>H</w:t>
            </w:r>
            <w:r w:rsidRPr="00602F4C">
              <w:rPr>
                <w:bCs/>
                <w:sz w:val="22"/>
              </w:rPr>
              <w:t xml:space="preserve"> (km a.s.l.)</w:t>
            </w:r>
          </w:p>
          <w:p w14:paraId="672DBE4F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</w:rPr>
            </w:pP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60EAC8AB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12</w:t>
            </w:r>
          </w:p>
          <w:p w14:paraId="2A213E82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5867DAC4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4</w:t>
            </w:r>
            <w:r w:rsidR="006209DE">
              <w:rPr>
                <w:sz w:val="22"/>
              </w:rPr>
              <w:t>–</w:t>
            </w:r>
            <w:r w:rsidRPr="00602F4C">
              <w:rPr>
                <w:sz w:val="22"/>
              </w:rPr>
              <w:t>20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23406D5E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10</w:t>
            </w:r>
            <w:r w:rsidR="006209DE">
              <w:rPr>
                <w:sz w:val="22"/>
              </w:rPr>
              <w:t>–</w:t>
            </w:r>
            <w:r w:rsidRPr="00602F4C">
              <w:rPr>
                <w:sz w:val="22"/>
              </w:rPr>
              <w:t>15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79B072A8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13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012B8A20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Calculated within model</w:t>
            </w:r>
          </w:p>
          <w:p w14:paraId="7E5EA119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</w:p>
        </w:tc>
      </w:tr>
      <w:tr w:rsidR="00246525" w:rsidRPr="000B551B" w14:paraId="7EC6BD0F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1F7747D4" w14:textId="77777777" w:rsidR="00246525" w:rsidRPr="00602F4C" w:rsidRDefault="00246525" w:rsidP="009C62CC">
            <w:pPr>
              <w:widowControl w:val="0"/>
              <w:spacing w:after="120"/>
              <w:rPr>
                <w:bCs/>
                <w:sz w:val="22"/>
              </w:rPr>
            </w:pPr>
            <w:r w:rsidRPr="00602F4C">
              <w:rPr>
                <w:bCs/>
                <w:sz w:val="22"/>
              </w:rPr>
              <w:t>Wind speed</w:t>
            </w:r>
            <w:r>
              <w:rPr>
                <w:bCs/>
                <w:sz w:val="22"/>
              </w:rPr>
              <w:t xml:space="preserve"> </w:t>
            </w:r>
            <w:r w:rsidRPr="00602F4C">
              <w:rPr>
                <w:bCs/>
                <w:i/>
                <w:sz w:val="22"/>
              </w:rPr>
              <w:t>w</w:t>
            </w:r>
            <w:r w:rsidRPr="00602F4C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    </w:t>
            </w:r>
            <w:r w:rsidRPr="00602F4C">
              <w:rPr>
                <w:bCs/>
                <w:sz w:val="22"/>
              </w:rPr>
              <w:t>(m s</w:t>
            </w:r>
            <w:r w:rsidRPr="00602F4C">
              <w:rPr>
                <w:bCs/>
                <w:sz w:val="22"/>
                <w:vertAlign w:val="superscript"/>
              </w:rPr>
              <w:t>-1</w:t>
            </w:r>
            <w:r w:rsidRPr="00602F4C">
              <w:rPr>
                <w:bCs/>
                <w:sz w:val="22"/>
              </w:rPr>
              <w:t>)</w:t>
            </w:r>
          </w:p>
          <w:p w14:paraId="3E0B5D31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</w:rPr>
            </w:pP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5502FE16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  <w:vertAlign w:val="superscript"/>
              </w:rPr>
              <w:t xml:space="preserve"> </w:t>
            </w:r>
            <w:r w:rsidRPr="00602F4C">
              <w:rPr>
                <w:sz w:val="22"/>
              </w:rPr>
              <w:t>3</w:t>
            </w:r>
            <w:r w:rsidRPr="00602F4C">
              <w:rPr>
                <w:sz w:val="22"/>
                <w:vertAlign w:val="superscript"/>
              </w:rPr>
              <w:t>(7)</w:t>
            </w:r>
            <w:r w:rsidRPr="00602F4C">
              <w:rPr>
                <w:sz w:val="22"/>
              </w:rPr>
              <w:t xml:space="preserve">  </w:t>
            </w:r>
          </w:p>
          <w:p w14:paraId="6EDA714C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 xml:space="preserve">(mean below </w:t>
            </w:r>
            <w:r>
              <w:rPr>
                <w:sz w:val="22"/>
              </w:rPr>
              <w:t xml:space="preserve">  </w:t>
            </w:r>
            <w:r w:rsidRPr="00602F4C">
              <w:rPr>
                <w:sz w:val="22"/>
              </w:rPr>
              <w:t>base current)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4D39729C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1</w:t>
            </w:r>
            <w:r w:rsidR="006209DE">
              <w:rPr>
                <w:sz w:val="22"/>
              </w:rPr>
              <w:t>–</w:t>
            </w:r>
            <w:r w:rsidRPr="00602F4C">
              <w:rPr>
                <w:sz w:val="22"/>
              </w:rPr>
              <w:t>20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2FEEAA35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1</w:t>
            </w:r>
            <w:r w:rsidR="006209DE">
              <w:rPr>
                <w:sz w:val="22"/>
              </w:rPr>
              <w:t>–</w:t>
            </w:r>
            <w:r w:rsidRPr="00602F4C">
              <w:rPr>
                <w:sz w:val="22"/>
              </w:rPr>
              <w:t>20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72047D6E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 xml:space="preserve">6 </w:t>
            </w:r>
          </w:p>
          <w:p w14:paraId="314CDE6C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(mean below plume height)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6CFD99A4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  <w:lang w:val="it-IT"/>
              </w:rPr>
              <w:t>Wind Etna 1998</w:t>
            </w:r>
            <w:r w:rsidRPr="00602F4C">
              <w:rPr>
                <w:sz w:val="22"/>
                <w:vertAlign w:val="superscript"/>
                <w:lang w:val="it-IT"/>
              </w:rPr>
              <w:t>(7)</w:t>
            </w:r>
            <w:r w:rsidRPr="00602F4C">
              <w:rPr>
                <w:sz w:val="22"/>
              </w:rPr>
              <w:t xml:space="preserve"> </w:t>
            </w:r>
          </w:p>
          <w:p w14:paraId="57FC228F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</w:p>
        </w:tc>
      </w:tr>
      <w:tr w:rsidR="00246525" w:rsidRPr="000B551B" w14:paraId="064A2B32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294FE4FB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</w:rPr>
            </w:pPr>
            <w:r w:rsidRPr="00602F4C">
              <w:rPr>
                <w:sz w:val="22"/>
              </w:rPr>
              <w:t xml:space="preserve">Wind </w:t>
            </w:r>
            <w:r>
              <w:rPr>
                <w:sz w:val="22"/>
              </w:rPr>
              <w:t>d</w:t>
            </w:r>
            <w:r w:rsidRPr="00602F4C">
              <w:rPr>
                <w:sz w:val="22"/>
              </w:rPr>
              <w:t xml:space="preserve">irection    </w:t>
            </w:r>
            <w:r>
              <w:rPr>
                <w:sz w:val="22"/>
              </w:rPr>
              <w:t xml:space="preserve"> </w:t>
            </w:r>
            <w:r w:rsidRPr="00602F4C">
              <w:rPr>
                <w:sz w:val="22"/>
              </w:rPr>
              <w:t>(˚ from N)</w:t>
            </w: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791046D3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-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0079FE19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90</w:t>
            </w:r>
            <w:r>
              <w:rPr>
                <w:sz w:val="22"/>
              </w:rPr>
              <w:t>–</w:t>
            </w:r>
            <w:r w:rsidRPr="00602F4C">
              <w:rPr>
                <w:sz w:val="22"/>
              </w:rPr>
              <w:t>200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6315B8DB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90</w:t>
            </w:r>
            <w:r>
              <w:rPr>
                <w:sz w:val="22"/>
              </w:rPr>
              <w:t>–</w:t>
            </w:r>
            <w:r w:rsidRPr="00602F4C">
              <w:rPr>
                <w:sz w:val="22"/>
              </w:rPr>
              <w:t>200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5361971B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110</w:t>
            </w:r>
            <w:r>
              <w:rPr>
                <w:sz w:val="22"/>
              </w:rPr>
              <w:t>–</w:t>
            </w:r>
            <w:r w:rsidRPr="00602F4C">
              <w:rPr>
                <w:sz w:val="22"/>
              </w:rPr>
              <w:t>184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61EEBB2D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  <w:lang w:val="it-IT"/>
              </w:rPr>
              <w:t>Wind Etna 1998</w:t>
            </w:r>
            <w:r w:rsidRPr="00602F4C">
              <w:rPr>
                <w:sz w:val="22"/>
                <w:vertAlign w:val="superscript"/>
                <w:lang w:val="it-IT"/>
              </w:rPr>
              <w:t>(7)</w:t>
            </w:r>
            <w:r w:rsidRPr="00602F4C">
              <w:rPr>
                <w:sz w:val="22"/>
              </w:rPr>
              <w:t xml:space="preserve"> </w:t>
            </w:r>
          </w:p>
          <w:p w14:paraId="1E8F9B6B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</w:p>
        </w:tc>
      </w:tr>
      <w:tr w:rsidR="00246525" w:rsidRPr="000B551B" w14:paraId="759FE95D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6667D00A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</w:rPr>
            </w:pPr>
            <w:r w:rsidRPr="00602F4C">
              <w:rPr>
                <w:sz w:val="22"/>
              </w:rPr>
              <w:t xml:space="preserve">Erupted mass </w:t>
            </w:r>
            <w:r w:rsidRPr="00602F4C">
              <w:rPr>
                <w:i/>
                <w:sz w:val="22"/>
              </w:rPr>
              <w:t xml:space="preserve">M </w:t>
            </w:r>
            <w:r w:rsidRPr="00602F4C">
              <w:rPr>
                <w:sz w:val="22"/>
              </w:rPr>
              <w:t>(</w:t>
            </w:r>
            <w:r w:rsidRPr="00602F4C">
              <w:rPr>
                <w:sz w:val="22"/>
                <w:szCs w:val="20"/>
              </w:rPr>
              <w:sym w:font="Symbol" w:char="F0B4"/>
            </w:r>
            <w:r w:rsidRPr="00602F4C">
              <w:rPr>
                <w:sz w:val="22"/>
              </w:rPr>
              <w:t>10</w:t>
            </w:r>
            <w:r w:rsidRPr="00602F4C">
              <w:rPr>
                <w:sz w:val="22"/>
                <w:vertAlign w:val="superscript"/>
              </w:rPr>
              <w:t xml:space="preserve">9 </w:t>
            </w:r>
            <w:r w:rsidRPr="00602F4C">
              <w:rPr>
                <w:sz w:val="22"/>
              </w:rPr>
              <w:t>kg)</w:t>
            </w: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37A4F649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2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4E892283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0.0001–100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7DFDED2D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0.5–</w:t>
            </w:r>
            <w:r w:rsidRPr="00602F4C">
              <w:rPr>
                <w:sz w:val="22"/>
              </w:rPr>
              <w:t>5</w:t>
            </w:r>
            <w:r w:rsidRPr="00602F4C">
              <w:rPr>
                <w:sz w:val="22"/>
                <w:szCs w:val="20"/>
              </w:rPr>
              <w:t>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1180E5A4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1.7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18F675A9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Calculated within model</w:t>
            </w:r>
            <w:r w:rsidRPr="00602F4C">
              <w:rPr>
                <w:i/>
                <w:sz w:val="22"/>
                <w:szCs w:val="20"/>
              </w:rPr>
              <w:t xml:space="preserve"> </w:t>
            </w:r>
            <w:r w:rsidRPr="00602F4C">
              <w:rPr>
                <w:sz w:val="22"/>
                <w:szCs w:val="20"/>
              </w:rPr>
              <w:t>(1.7)</w:t>
            </w:r>
          </w:p>
          <w:p w14:paraId="420C86E5" w14:textId="77777777" w:rsidR="00246525" w:rsidRPr="00602F4C" w:rsidRDefault="00246525" w:rsidP="009C62CC">
            <w:pPr>
              <w:widowControl w:val="0"/>
              <w:jc w:val="center"/>
              <w:rPr>
                <w:i/>
                <w:sz w:val="22"/>
              </w:rPr>
            </w:pPr>
          </w:p>
        </w:tc>
      </w:tr>
      <w:tr w:rsidR="00246525" w:rsidRPr="000B551B" w14:paraId="0B5FCB4E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12C87D63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</w:rPr>
            </w:pPr>
            <w:r w:rsidRPr="00602F4C">
              <w:rPr>
                <w:sz w:val="22"/>
              </w:rPr>
              <w:t xml:space="preserve">Mass eruption rate </w:t>
            </w:r>
            <w:r w:rsidRPr="00602F4C">
              <w:rPr>
                <w:position w:val="-2"/>
                <w:sz w:val="22"/>
              </w:rPr>
              <w:object w:dxaOrig="260" w:dyaOrig="240" w14:anchorId="1E4A13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pt;height:12pt" o:ole="">
                  <v:imagedata r:id="rId8" o:title=""/>
                </v:shape>
                <o:OLEObject Type="Embed" ProgID="Equation.3" ShapeID="_x0000_i1025" DrawAspect="Content" ObjectID="_1285921459" r:id="rId9"/>
              </w:object>
            </w:r>
            <w:r w:rsidRPr="00602F4C">
              <w:rPr>
                <w:sz w:val="22"/>
              </w:rPr>
              <w:t xml:space="preserve"> (</w:t>
            </w:r>
            <w:r w:rsidRPr="00602F4C">
              <w:rPr>
                <w:sz w:val="22"/>
                <w:szCs w:val="22"/>
              </w:rPr>
              <w:t>×10</w:t>
            </w:r>
            <w:r w:rsidRPr="00602F4C">
              <w:rPr>
                <w:sz w:val="22"/>
                <w:szCs w:val="22"/>
                <w:vertAlign w:val="superscript"/>
              </w:rPr>
              <w:t>6</w:t>
            </w:r>
            <w:r w:rsidRPr="00602F4C">
              <w:rPr>
                <w:sz w:val="22"/>
                <w:szCs w:val="22"/>
              </w:rPr>
              <w:t xml:space="preserve"> kg s</w:t>
            </w:r>
            <w:r w:rsidRPr="00602F4C">
              <w:rPr>
                <w:sz w:val="22"/>
                <w:szCs w:val="22"/>
                <w:vertAlign w:val="superscript"/>
              </w:rPr>
              <w:t>-1</w:t>
            </w:r>
            <w:r w:rsidRPr="00602F4C">
              <w:rPr>
                <w:sz w:val="22"/>
              </w:rPr>
              <w:t>)</w:t>
            </w: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307F0852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-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146F04F6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-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021E1CAD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-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583EBB04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-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79995BB3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szCs w:val="20"/>
              </w:rPr>
            </w:pPr>
            <w:r w:rsidRPr="00602F4C">
              <w:rPr>
                <w:sz w:val="22"/>
                <w:szCs w:val="20"/>
              </w:rPr>
              <w:t>2.4</w:t>
            </w:r>
          </w:p>
        </w:tc>
      </w:tr>
      <w:tr w:rsidR="00246525" w:rsidRPr="00030AF4" w14:paraId="757B0E80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75072AC0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</w:rPr>
            </w:pPr>
            <w:r w:rsidRPr="00602F4C">
              <w:rPr>
                <w:sz w:val="22"/>
              </w:rPr>
              <w:t xml:space="preserve">Particle density </w:t>
            </w:r>
            <w:r>
              <w:rPr>
                <w:sz w:val="22"/>
              </w:rPr>
              <w:t xml:space="preserve"> </w:t>
            </w:r>
            <w:r w:rsidRPr="00602F4C">
              <w:rPr>
                <w:sz w:val="22"/>
              </w:rPr>
              <w:t>(kg m</w:t>
            </w:r>
            <w:r w:rsidRPr="00602F4C">
              <w:rPr>
                <w:sz w:val="22"/>
                <w:vertAlign w:val="superscript"/>
              </w:rPr>
              <w:t>-3</w:t>
            </w:r>
            <w:r w:rsidRPr="00602F4C">
              <w:rPr>
                <w:sz w:val="22"/>
              </w:rPr>
              <w:t>)</w:t>
            </w: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2F000987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900</w:t>
            </w:r>
            <w:r>
              <w:rPr>
                <w:sz w:val="22"/>
              </w:rPr>
              <w:t>–</w:t>
            </w:r>
            <w:r w:rsidRPr="00602F4C">
              <w:rPr>
                <w:sz w:val="22"/>
              </w:rPr>
              <w:t>2600</w:t>
            </w:r>
            <w:r w:rsidRPr="00602F4C">
              <w:rPr>
                <w:sz w:val="22"/>
                <w:vertAlign w:val="superscript"/>
              </w:rPr>
              <w:t>(8)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2F7A4A99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900</w:t>
            </w:r>
            <w:r>
              <w:rPr>
                <w:sz w:val="22"/>
              </w:rPr>
              <w:t>–</w:t>
            </w:r>
            <w:r w:rsidRPr="00602F4C">
              <w:rPr>
                <w:sz w:val="22"/>
              </w:rPr>
              <w:t>2600</w:t>
            </w:r>
            <w:r w:rsidRPr="00602F4C">
              <w:rPr>
                <w:sz w:val="22"/>
                <w:vertAlign w:val="superscript"/>
              </w:rPr>
              <w:t>(8)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018C9F29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900</w:t>
            </w:r>
            <w:r>
              <w:rPr>
                <w:sz w:val="22"/>
              </w:rPr>
              <w:t>–</w:t>
            </w:r>
            <w:r w:rsidRPr="00602F4C">
              <w:rPr>
                <w:sz w:val="22"/>
              </w:rPr>
              <w:t>2600</w:t>
            </w:r>
            <w:r w:rsidRPr="00602F4C">
              <w:rPr>
                <w:sz w:val="22"/>
                <w:vertAlign w:val="superscript"/>
              </w:rPr>
              <w:t>(8)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0AC297A1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 w:rsidRPr="00602F4C">
              <w:rPr>
                <w:sz w:val="22"/>
              </w:rPr>
              <w:t>900</w:t>
            </w:r>
            <w:r>
              <w:rPr>
                <w:sz w:val="22"/>
              </w:rPr>
              <w:t>–</w:t>
            </w:r>
            <w:r w:rsidRPr="00602F4C">
              <w:rPr>
                <w:sz w:val="22"/>
              </w:rPr>
              <w:t>2600</w:t>
            </w:r>
            <w:r w:rsidRPr="00602F4C">
              <w:rPr>
                <w:sz w:val="22"/>
                <w:vertAlign w:val="superscript"/>
              </w:rPr>
              <w:t>(8)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663FA3A6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900–</w:t>
            </w:r>
            <w:r w:rsidRPr="00602F4C">
              <w:rPr>
                <w:sz w:val="22"/>
              </w:rPr>
              <w:t>2600</w:t>
            </w:r>
            <w:r w:rsidRPr="00602F4C">
              <w:rPr>
                <w:sz w:val="22"/>
                <w:vertAlign w:val="superscript"/>
              </w:rPr>
              <w:t>(8)</w:t>
            </w:r>
          </w:p>
          <w:p w14:paraId="32760A6F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it-IT"/>
              </w:rPr>
            </w:pPr>
          </w:p>
        </w:tc>
      </w:tr>
      <w:tr w:rsidR="00246525" w:rsidRPr="00030AF4" w14:paraId="5F0FA173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0CE83DF6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  <w:lang w:val="fr-FR"/>
              </w:rPr>
            </w:pPr>
            <w:r w:rsidRPr="00602F4C">
              <w:rPr>
                <w:i/>
                <w:sz w:val="22"/>
              </w:rPr>
              <w:t>K</w:t>
            </w:r>
            <w:r w:rsidRPr="00602F4C">
              <w:rPr>
                <w:i/>
                <w:sz w:val="22"/>
                <w:vertAlign w:val="subscript"/>
              </w:rPr>
              <w:t>H</w:t>
            </w:r>
            <w:r w:rsidRPr="00602F4C">
              <w:rPr>
                <w:sz w:val="22"/>
              </w:rPr>
              <w:t xml:space="preserve">  </w:t>
            </w:r>
            <w:r w:rsidRPr="00602F4C">
              <w:rPr>
                <w:sz w:val="22"/>
                <w:lang w:val="fr-FR"/>
              </w:rPr>
              <w:t>(m</w:t>
            </w:r>
            <w:r w:rsidRPr="00602F4C">
              <w:rPr>
                <w:sz w:val="22"/>
                <w:vertAlign w:val="superscript"/>
                <w:lang w:val="fr-FR"/>
              </w:rPr>
              <w:t>2</w:t>
            </w:r>
            <w:r w:rsidRPr="00602F4C">
              <w:rPr>
                <w:sz w:val="22"/>
                <w:lang w:val="fr-FR"/>
              </w:rPr>
              <w:t xml:space="preserve"> s</w:t>
            </w:r>
            <w:r w:rsidRPr="00602F4C">
              <w:rPr>
                <w:sz w:val="22"/>
                <w:vertAlign w:val="superscript"/>
                <w:lang w:val="fr-FR"/>
              </w:rPr>
              <w:t>-1</w:t>
            </w:r>
            <w:r w:rsidRPr="00602F4C">
              <w:rPr>
                <w:sz w:val="22"/>
                <w:lang w:val="fr-FR"/>
              </w:rPr>
              <w:t>)</w:t>
            </w: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449DCAC7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fr-FR"/>
              </w:rPr>
            </w:pPr>
            <w:r w:rsidRPr="00602F4C">
              <w:rPr>
                <w:sz w:val="22"/>
                <w:lang w:val="fr-FR"/>
              </w:rPr>
              <w:t>-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747907E9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fr-FR"/>
              </w:rPr>
            </w:pPr>
            <w:r w:rsidRPr="00602F4C">
              <w:rPr>
                <w:sz w:val="22"/>
              </w:rPr>
              <w:t>0.1</w:t>
            </w:r>
            <w:r>
              <w:rPr>
                <w:sz w:val="22"/>
              </w:rPr>
              <w:t>–</w:t>
            </w:r>
            <w:r w:rsidRPr="00602F4C">
              <w:rPr>
                <w:sz w:val="22"/>
              </w:rPr>
              <w:t>8000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62316AC1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fr-FR"/>
              </w:rPr>
            </w:pPr>
            <w:r w:rsidRPr="00602F4C">
              <w:rPr>
                <w:sz w:val="22"/>
              </w:rPr>
              <w:t>0.1</w:t>
            </w:r>
            <w:r>
              <w:rPr>
                <w:sz w:val="22"/>
              </w:rPr>
              <w:t>–</w:t>
            </w:r>
            <w:r w:rsidRPr="00602F4C">
              <w:rPr>
                <w:sz w:val="22"/>
              </w:rPr>
              <w:t>8000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1CD96AB9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fr-FR"/>
              </w:rPr>
            </w:pPr>
            <w:r w:rsidRPr="00602F4C">
              <w:rPr>
                <w:sz w:val="22"/>
              </w:rPr>
              <w:t>0.5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5BDFF14E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it-IT"/>
              </w:rPr>
            </w:pPr>
            <w:r w:rsidRPr="00602F4C">
              <w:rPr>
                <w:sz w:val="22"/>
                <w:lang w:val="it-IT"/>
              </w:rPr>
              <w:t>5000</w:t>
            </w:r>
            <w:r w:rsidRPr="00602F4C">
              <w:rPr>
                <w:sz w:val="22"/>
                <w:vertAlign w:val="superscript"/>
                <w:lang w:val="it-IT"/>
              </w:rPr>
              <w:t>(9)</w:t>
            </w:r>
          </w:p>
          <w:p w14:paraId="39391CB8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fr-FR"/>
              </w:rPr>
            </w:pPr>
          </w:p>
        </w:tc>
      </w:tr>
      <w:tr w:rsidR="00246525" w:rsidRPr="00030AF4" w14:paraId="0CCE3F70" w14:textId="77777777">
        <w:tc>
          <w:tcPr>
            <w:tcW w:w="1800" w:type="dxa"/>
            <w:tcBorders>
              <w:right w:val="single" w:sz="4" w:space="0" w:color="auto"/>
            </w:tcBorders>
            <w:tcMar>
              <w:left w:w="29" w:type="dxa"/>
              <w:right w:w="29" w:type="dxa"/>
            </w:tcMar>
          </w:tcPr>
          <w:p w14:paraId="75B1941D" w14:textId="77777777" w:rsidR="00246525" w:rsidRPr="00602F4C" w:rsidRDefault="00246525" w:rsidP="009C62CC">
            <w:pPr>
              <w:widowControl w:val="0"/>
              <w:spacing w:after="120"/>
              <w:rPr>
                <w:sz w:val="22"/>
                <w:lang w:val="it-IT"/>
              </w:rPr>
            </w:pPr>
            <w:r w:rsidRPr="00602F4C">
              <w:rPr>
                <w:sz w:val="22"/>
                <w:lang w:val="it-IT"/>
              </w:rPr>
              <w:t xml:space="preserve">Fall </w:t>
            </w:r>
            <w:r>
              <w:rPr>
                <w:sz w:val="22"/>
                <w:lang w:val="it-IT"/>
              </w:rPr>
              <w:t>t</w:t>
            </w:r>
            <w:r w:rsidRPr="00602F4C">
              <w:rPr>
                <w:sz w:val="22"/>
                <w:lang w:val="it-IT"/>
              </w:rPr>
              <w:t xml:space="preserve">ime </w:t>
            </w:r>
            <w:r>
              <w:rPr>
                <w:sz w:val="22"/>
                <w:lang w:val="it-IT"/>
              </w:rPr>
              <w:t>t</w:t>
            </w:r>
            <w:r w:rsidRPr="00602F4C">
              <w:rPr>
                <w:sz w:val="22"/>
                <w:lang w:val="it-IT"/>
              </w:rPr>
              <w:t>hreshold</w:t>
            </w:r>
            <w:r w:rsidRPr="00602F4C">
              <w:rPr>
                <w:sz w:val="22"/>
                <w:vertAlign w:val="superscript"/>
                <w:lang w:val="it-IT"/>
              </w:rPr>
              <w:t>(10)</w:t>
            </w:r>
            <w:r w:rsidRPr="00602F4C">
              <w:rPr>
                <w:sz w:val="22"/>
                <w:lang w:val="it-IT"/>
              </w:rPr>
              <w:t xml:space="preserve"> (s)</w:t>
            </w:r>
          </w:p>
        </w:tc>
        <w:tc>
          <w:tcPr>
            <w:tcW w:w="1609" w:type="dxa"/>
            <w:tcBorders>
              <w:left w:val="single" w:sz="4" w:space="0" w:color="auto"/>
            </w:tcBorders>
            <w:tcMar>
              <w:left w:w="29" w:type="dxa"/>
              <w:right w:w="29" w:type="dxa"/>
            </w:tcMar>
          </w:tcPr>
          <w:p w14:paraId="388C067C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it-IT"/>
              </w:rPr>
            </w:pPr>
            <w:r w:rsidRPr="00602F4C">
              <w:rPr>
                <w:sz w:val="22"/>
                <w:lang w:val="it-IT"/>
              </w:rPr>
              <w:t>-</w:t>
            </w:r>
          </w:p>
        </w:tc>
        <w:tc>
          <w:tcPr>
            <w:tcW w:w="1541" w:type="dxa"/>
            <w:tcMar>
              <w:left w:w="29" w:type="dxa"/>
              <w:right w:w="29" w:type="dxa"/>
            </w:tcMar>
          </w:tcPr>
          <w:p w14:paraId="6EE196E4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1–</w:t>
            </w:r>
            <w:r w:rsidRPr="00602F4C">
              <w:rPr>
                <w:sz w:val="22"/>
                <w:lang w:val="it-IT"/>
              </w:rPr>
              <w:t>5000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5F668C7B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it-IT"/>
              </w:rPr>
            </w:pPr>
            <w:r w:rsidRPr="00602F4C">
              <w:rPr>
                <w:sz w:val="22"/>
                <w:lang w:val="it-IT"/>
              </w:rPr>
              <w:t>1</w:t>
            </w:r>
            <w:r>
              <w:rPr>
                <w:sz w:val="22"/>
                <w:lang w:val="it-IT"/>
              </w:rPr>
              <w:t>–</w:t>
            </w:r>
            <w:r w:rsidRPr="00602F4C">
              <w:rPr>
                <w:sz w:val="22"/>
                <w:lang w:val="it-IT"/>
              </w:rPr>
              <w:t>5000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14:paraId="7C283AFF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it-IT"/>
              </w:rPr>
            </w:pPr>
            <w:r w:rsidRPr="00602F4C">
              <w:rPr>
                <w:sz w:val="22"/>
                <w:lang w:val="it-IT"/>
              </w:rPr>
              <w:t>278</w:t>
            </w:r>
          </w:p>
        </w:tc>
        <w:tc>
          <w:tcPr>
            <w:tcW w:w="1710" w:type="dxa"/>
            <w:shd w:val="clear" w:color="auto" w:fill="auto"/>
            <w:tcMar>
              <w:left w:w="29" w:type="dxa"/>
              <w:right w:w="29" w:type="dxa"/>
            </w:tcMar>
          </w:tcPr>
          <w:p w14:paraId="2E6C538E" w14:textId="77777777" w:rsidR="00246525" w:rsidRPr="00602F4C" w:rsidRDefault="00246525" w:rsidP="009C62CC">
            <w:pPr>
              <w:widowControl w:val="0"/>
              <w:jc w:val="center"/>
              <w:rPr>
                <w:sz w:val="22"/>
                <w:lang w:val="it-IT"/>
              </w:rPr>
            </w:pPr>
            <w:r w:rsidRPr="00602F4C">
              <w:rPr>
                <w:sz w:val="22"/>
                <w:lang w:val="it-IT"/>
              </w:rPr>
              <w:t>-</w:t>
            </w:r>
          </w:p>
        </w:tc>
      </w:tr>
    </w:tbl>
    <w:p w14:paraId="5F645EC9" w14:textId="77777777" w:rsidR="00246525" w:rsidRDefault="00246525" w:rsidP="009C62CC">
      <w:pPr>
        <w:widowControl w:val="0"/>
        <w:rPr>
          <w:vertAlign w:val="superscript"/>
          <w:lang w:val="it-IT"/>
        </w:rPr>
      </w:pPr>
    </w:p>
    <w:p w14:paraId="28954094" w14:textId="77777777" w:rsidR="00246525" w:rsidRPr="000E3240" w:rsidRDefault="00246525" w:rsidP="009C62CC">
      <w:pPr>
        <w:widowControl w:val="0"/>
        <w:ind w:left="288" w:hanging="288"/>
        <w:rPr>
          <w:sz w:val="20"/>
        </w:rPr>
      </w:pPr>
      <w:r>
        <w:rPr>
          <w:sz w:val="20"/>
          <w:vertAlign w:val="superscript"/>
        </w:rPr>
        <w:t xml:space="preserve"> (1)</w:t>
      </w:r>
      <w:r w:rsidRPr="000E3240">
        <w:rPr>
          <w:sz w:val="20"/>
        </w:rPr>
        <w:t>Strong Plume model of Bonadonna and Phillips</w:t>
      </w:r>
      <w:r>
        <w:rPr>
          <w:sz w:val="20"/>
        </w:rPr>
        <w:t xml:space="preserve"> (</w:t>
      </w:r>
      <w:r w:rsidRPr="000E3240">
        <w:rPr>
          <w:sz w:val="20"/>
        </w:rPr>
        <w:t>2003</w:t>
      </w:r>
      <w:r>
        <w:rPr>
          <w:sz w:val="20"/>
        </w:rPr>
        <w:t>),</w:t>
      </w:r>
      <w:r w:rsidRPr="000E3240">
        <w:rPr>
          <w:sz w:val="20"/>
        </w:rPr>
        <w:t xml:space="preserve"> modified to account for Etna topography. Erupted volume was calculated for this work. Plume height and particle density ar</w:t>
      </w:r>
      <w:r>
        <w:rPr>
          <w:sz w:val="20"/>
        </w:rPr>
        <w:t>e from observations (D. Andronico, unpublished</w:t>
      </w:r>
      <w:r w:rsidRPr="000E3240">
        <w:rPr>
          <w:sz w:val="20"/>
        </w:rPr>
        <w:t xml:space="preserve"> data). Wind speed is averaged between the base of the current and the ground. </w:t>
      </w:r>
    </w:p>
    <w:p w14:paraId="00DB3567" w14:textId="77777777" w:rsidR="00246525" w:rsidRPr="000E3240" w:rsidRDefault="00246525" w:rsidP="009C62CC">
      <w:pPr>
        <w:widowControl w:val="0"/>
        <w:ind w:left="288" w:hanging="288"/>
        <w:rPr>
          <w:sz w:val="20"/>
        </w:rPr>
      </w:pPr>
      <w:r>
        <w:rPr>
          <w:sz w:val="20"/>
          <w:vertAlign w:val="superscript"/>
        </w:rPr>
        <w:t>(2)</w:t>
      </w:r>
      <w:r w:rsidRPr="000E3240">
        <w:rPr>
          <w:sz w:val="20"/>
        </w:rPr>
        <w:t>Inversion technique used is described in Connor and Connor</w:t>
      </w:r>
      <w:r>
        <w:rPr>
          <w:sz w:val="20"/>
        </w:rPr>
        <w:t xml:space="preserve"> (2006)</w:t>
      </w:r>
      <w:r w:rsidRPr="000E3240">
        <w:rPr>
          <w:sz w:val="20"/>
        </w:rPr>
        <w:t xml:space="preserve">. </w:t>
      </w:r>
      <w:r>
        <w:rPr>
          <w:sz w:val="20"/>
        </w:rPr>
        <w:t>Runs 2 and 3</w:t>
      </w:r>
      <w:r w:rsidRPr="000E3240">
        <w:rPr>
          <w:sz w:val="20"/>
        </w:rPr>
        <w:t xml:space="preserve"> show the range of values used in the inversion technique.</w:t>
      </w:r>
    </w:p>
    <w:p w14:paraId="749C5667" w14:textId="77777777" w:rsidR="00246525" w:rsidRPr="000E3240" w:rsidRDefault="00246525" w:rsidP="009C62CC">
      <w:pPr>
        <w:widowControl w:val="0"/>
        <w:ind w:left="288" w:hanging="288"/>
        <w:rPr>
          <w:sz w:val="20"/>
        </w:rPr>
      </w:pPr>
      <w:r w:rsidRPr="000E3240">
        <w:rPr>
          <w:sz w:val="20"/>
          <w:vertAlign w:val="superscript"/>
        </w:rPr>
        <w:t>(3)</w:t>
      </w:r>
      <w:r w:rsidRPr="000E3240">
        <w:rPr>
          <w:sz w:val="20"/>
        </w:rPr>
        <w:t>The forward model TEPHRA2 is described in</w:t>
      </w:r>
      <w:r w:rsidRPr="000E3240">
        <w:rPr>
          <w:i/>
          <w:sz w:val="20"/>
        </w:rPr>
        <w:t xml:space="preserve"> </w:t>
      </w:r>
      <w:r w:rsidRPr="00A726B4">
        <w:rPr>
          <w:sz w:val="20"/>
        </w:rPr>
        <w:t>Bonadonna</w:t>
      </w:r>
      <w:r w:rsidRPr="000E3240">
        <w:rPr>
          <w:i/>
          <w:sz w:val="20"/>
        </w:rPr>
        <w:t xml:space="preserve"> et al.</w:t>
      </w:r>
      <w:r>
        <w:rPr>
          <w:sz w:val="20"/>
        </w:rPr>
        <w:t xml:space="preserve"> (2005b)</w:t>
      </w:r>
      <w:r w:rsidRPr="000E3240">
        <w:rPr>
          <w:sz w:val="20"/>
        </w:rPr>
        <w:t xml:space="preserve"> and Connor and Connor</w:t>
      </w:r>
      <w:r>
        <w:rPr>
          <w:sz w:val="20"/>
        </w:rPr>
        <w:t xml:space="preserve"> (2006)</w:t>
      </w:r>
      <w:r w:rsidRPr="000E3240">
        <w:rPr>
          <w:sz w:val="20"/>
        </w:rPr>
        <w:t>. Input data for this simulation are the best</w:t>
      </w:r>
      <w:r>
        <w:rPr>
          <w:sz w:val="20"/>
        </w:rPr>
        <w:t xml:space="preserve">-fit results from </w:t>
      </w:r>
      <w:r w:rsidRPr="000E3240">
        <w:rPr>
          <w:sz w:val="20"/>
        </w:rPr>
        <w:t>inversion simulations (Run2)</w:t>
      </w:r>
    </w:p>
    <w:p w14:paraId="2CABB125" w14:textId="77777777" w:rsidR="00246525" w:rsidRPr="000E3240" w:rsidRDefault="00246525" w:rsidP="009C62CC">
      <w:pPr>
        <w:widowControl w:val="0"/>
        <w:ind w:left="288" w:hanging="288"/>
        <w:rPr>
          <w:sz w:val="20"/>
        </w:rPr>
      </w:pPr>
      <w:r w:rsidRPr="000E3240">
        <w:rPr>
          <w:sz w:val="20"/>
          <w:vertAlign w:val="superscript"/>
        </w:rPr>
        <w:t>(4)</w:t>
      </w:r>
      <w:r w:rsidRPr="000E3240">
        <w:rPr>
          <w:sz w:val="20"/>
        </w:rPr>
        <w:t>The forward model FALL3D is described in Folch</w:t>
      </w:r>
      <w:r w:rsidRPr="000E3240">
        <w:rPr>
          <w:i/>
          <w:sz w:val="20"/>
        </w:rPr>
        <w:t xml:space="preserve"> et al.</w:t>
      </w:r>
      <w:r>
        <w:rPr>
          <w:sz w:val="20"/>
        </w:rPr>
        <w:t xml:space="preserve"> (</w:t>
      </w:r>
      <w:r w:rsidRPr="000E3240">
        <w:rPr>
          <w:sz w:val="20"/>
        </w:rPr>
        <w:t>2009</w:t>
      </w:r>
      <w:r>
        <w:rPr>
          <w:sz w:val="20"/>
        </w:rPr>
        <w:t>)</w:t>
      </w:r>
      <w:r w:rsidRPr="000E3240">
        <w:rPr>
          <w:sz w:val="20"/>
        </w:rPr>
        <w:t>. Column height is determined within the code using Bursik</w:t>
      </w:r>
      <w:r>
        <w:rPr>
          <w:sz w:val="20"/>
        </w:rPr>
        <w:t xml:space="preserve"> (</w:t>
      </w:r>
      <w:r w:rsidRPr="000E3240">
        <w:rPr>
          <w:sz w:val="20"/>
        </w:rPr>
        <w:t>2001</w:t>
      </w:r>
      <w:r>
        <w:rPr>
          <w:sz w:val="20"/>
        </w:rPr>
        <w:t>)</w:t>
      </w:r>
      <w:r w:rsidRPr="000E3240">
        <w:rPr>
          <w:sz w:val="20"/>
        </w:rPr>
        <w:t xml:space="preserve">. The erupted mass is calculated within the code based on column height and duration. Turbulent diffusion coefficients are also determined within the code and vary with wind, height and time. </w:t>
      </w:r>
    </w:p>
    <w:p w14:paraId="51B7A3E5" w14:textId="77777777" w:rsidR="00246525" w:rsidRPr="000E3240" w:rsidRDefault="00246525" w:rsidP="009C62CC">
      <w:pPr>
        <w:widowControl w:val="0"/>
        <w:ind w:left="288" w:hanging="288"/>
        <w:rPr>
          <w:sz w:val="20"/>
        </w:rPr>
      </w:pPr>
      <w:r w:rsidRPr="000E3240">
        <w:rPr>
          <w:sz w:val="20"/>
          <w:vertAlign w:val="superscript"/>
        </w:rPr>
        <w:t>(5)</w:t>
      </w:r>
      <w:r w:rsidRPr="000E3240">
        <w:rPr>
          <w:sz w:val="20"/>
        </w:rPr>
        <w:t>Total grainsize distribution was averaged using the Voronoi technique (</w:t>
      </w:r>
      <w:r>
        <w:rPr>
          <w:sz w:val="20"/>
        </w:rPr>
        <w:t>Md</w:t>
      </w:r>
      <w:r w:rsidRPr="00602F4C">
        <w:rPr>
          <w:rFonts w:ascii="Symbol" w:hAnsi="Symbol"/>
          <w:sz w:val="20"/>
        </w:rPr>
        <w:t></w:t>
      </w:r>
      <w:r>
        <w:rPr>
          <w:sz w:val="20"/>
        </w:rPr>
        <w:t xml:space="preserve"> =</w:t>
      </w:r>
      <w:r w:rsidRPr="000E3240">
        <w:rPr>
          <w:sz w:val="20"/>
        </w:rPr>
        <w:t xml:space="preserve"> 0.8 </w:t>
      </w:r>
      <w:r w:rsidRPr="00602F4C">
        <w:rPr>
          <w:rFonts w:ascii="Symbol" w:hAnsi="Symbol"/>
          <w:sz w:val="20"/>
        </w:rPr>
        <w:t></w:t>
      </w:r>
      <w:r>
        <w:rPr>
          <w:sz w:val="20"/>
        </w:rPr>
        <w:t>; STDV =</w:t>
      </w:r>
      <w:r w:rsidRPr="000E3240">
        <w:rPr>
          <w:sz w:val="20"/>
        </w:rPr>
        <w:t xml:space="preserve"> 1.8; S. Scollo, unpub</w:t>
      </w:r>
      <w:r>
        <w:rPr>
          <w:sz w:val="20"/>
        </w:rPr>
        <w:t>lished</w:t>
      </w:r>
      <w:r w:rsidRPr="000E3240">
        <w:rPr>
          <w:sz w:val="20"/>
        </w:rPr>
        <w:t xml:space="preserve"> data). </w:t>
      </w:r>
    </w:p>
    <w:p w14:paraId="0D175EA9" w14:textId="77777777" w:rsidR="00246525" w:rsidRPr="000E3240" w:rsidRDefault="00246525" w:rsidP="009C62CC">
      <w:pPr>
        <w:widowControl w:val="0"/>
        <w:ind w:left="288" w:hanging="288"/>
        <w:rPr>
          <w:sz w:val="20"/>
        </w:rPr>
      </w:pPr>
      <w:r w:rsidRPr="000E3240">
        <w:rPr>
          <w:sz w:val="20"/>
          <w:vertAlign w:val="superscript"/>
        </w:rPr>
        <w:t>(6)</w:t>
      </w:r>
      <w:r w:rsidRPr="000E3240">
        <w:rPr>
          <w:sz w:val="20"/>
        </w:rPr>
        <w:t xml:space="preserve">Grainsize distributions are defined as median </w:t>
      </w:r>
      <w:r>
        <w:rPr>
          <w:sz w:val="20"/>
        </w:rPr>
        <w:t>(Md</w:t>
      </w:r>
      <w:r w:rsidRPr="00602F4C">
        <w:rPr>
          <w:rFonts w:ascii="Symbol" w:hAnsi="Symbol"/>
          <w:sz w:val="20"/>
        </w:rPr>
        <w:t></w:t>
      </w:r>
      <w:r>
        <w:rPr>
          <w:rFonts w:ascii="Symbol" w:hAnsi="Symbol"/>
          <w:sz w:val="20"/>
        </w:rPr>
        <w:t></w:t>
      </w:r>
      <w:r>
        <w:rPr>
          <w:sz w:val="20"/>
        </w:rPr>
        <w:t xml:space="preserve"> </w:t>
      </w:r>
      <w:r w:rsidRPr="000E3240">
        <w:rPr>
          <w:sz w:val="20"/>
        </w:rPr>
        <w:t>and standard d</w:t>
      </w:r>
      <w:r>
        <w:rPr>
          <w:sz w:val="20"/>
        </w:rPr>
        <w:t>e</w:t>
      </w:r>
      <w:r w:rsidRPr="000E3240">
        <w:rPr>
          <w:sz w:val="20"/>
        </w:rPr>
        <w:t xml:space="preserve">viation (STDV) of the associated best-fit </w:t>
      </w:r>
      <w:r w:rsidRPr="000E3240">
        <w:rPr>
          <w:sz w:val="20"/>
        </w:rPr>
        <w:lastRenderedPageBreak/>
        <w:t>Gaussian distribution</w:t>
      </w:r>
    </w:p>
    <w:p w14:paraId="54974466" w14:textId="77777777" w:rsidR="00246525" w:rsidRPr="000E3240" w:rsidRDefault="00246525" w:rsidP="009C62CC">
      <w:pPr>
        <w:widowControl w:val="0"/>
        <w:ind w:left="288" w:hanging="288"/>
        <w:rPr>
          <w:rFonts w:ascii="Times-Roman" w:hAnsi="Times-Roman" w:cs="Times-Roman"/>
          <w:sz w:val="20"/>
          <w:szCs w:val="20"/>
          <w:lang w:eastAsia="it-IT" w:bidi="it-IT"/>
        </w:rPr>
      </w:pPr>
      <w:r w:rsidRPr="000E3240">
        <w:rPr>
          <w:sz w:val="20"/>
          <w:vertAlign w:val="superscript"/>
        </w:rPr>
        <w:t>(7)</w:t>
      </w:r>
      <w:r w:rsidRPr="000E3240">
        <w:rPr>
          <w:sz w:val="20"/>
        </w:rPr>
        <w:t xml:space="preserve">A wind </w:t>
      </w:r>
      <w:r w:rsidR="00E3092F">
        <w:rPr>
          <w:sz w:val="20"/>
        </w:rPr>
        <w:t xml:space="preserve">profile </w:t>
      </w:r>
      <w:r>
        <w:rPr>
          <w:sz w:val="20"/>
        </w:rPr>
        <w:t xml:space="preserve">was obtained at </w:t>
      </w:r>
      <w:r w:rsidRPr="000E3240">
        <w:rPr>
          <w:rFonts w:cs="Helvetica"/>
          <w:sz w:val="20"/>
          <w:lang w:bidi="it-IT"/>
        </w:rPr>
        <w:t>37.5</w:t>
      </w:r>
      <w:r>
        <w:rPr>
          <w:rFonts w:cs="Helvetica"/>
          <w:sz w:val="20"/>
          <w:lang w:bidi="it-IT"/>
        </w:rPr>
        <w:t>˚N 15˚E at 18:00 LT was obtained using</w:t>
      </w:r>
      <w:r w:rsidRPr="000E3240">
        <w:rPr>
          <w:rFonts w:cs="Helvetica"/>
          <w:sz w:val="20"/>
          <w:lang w:bidi="it-IT"/>
        </w:rPr>
        <w:t xml:space="preserve"> the WRF model </w:t>
      </w:r>
      <w:r>
        <w:rPr>
          <w:rFonts w:cs="Helvetica"/>
          <w:sz w:val="20"/>
          <w:lang w:bidi="it-IT"/>
        </w:rPr>
        <w:t>(</w:t>
      </w:r>
      <w:r w:rsidRPr="000E3240">
        <w:rPr>
          <w:rFonts w:ascii="Times-Roman" w:hAnsi="Times-Roman" w:cs="Times-Roman"/>
          <w:sz w:val="20"/>
          <w:szCs w:val="20"/>
          <w:lang w:eastAsia="it-IT" w:bidi="it-IT"/>
        </w:rPr>
        <w:t>Skamarock</w:t>
      </w:r>
      <w:r w:rsidRPr="000E3240">
        <w:rPr>
          <w:rFonts w:ascii="Times-Roman" w:hAnsi="Times-Roman" w:cs="Times-Roman"/>
          <w:i/>
          <w:sz w:val="20"/>
          <w:szCs w:val="20"/>
          <w:lang w:eastAsia="it-IT" w:bidi="it-IT"/>
        </w:rPr>
        <w:t xml:space="preserve"> et al.</w:t>
      </w:r>
      <w:r w:rsidRPr="000E3240">
        <w:rPr>
          <w:rFonts w:ascii="Times-Roman" w:hAnsi="Times-Roman" w:cs="Times-Roman"/>
          <w:sz w:val="20"/>
          <w:szCs w:val="20"/>
          <w:lang w:eastAsia="it-IT" w:bidi="it-IT"/>
        </w:rPr>
        <w:t>, 2005</w:t>
      </w:r>
      <w:r>
        <w:rPr>
          <w:rFonts w:ascii="Times-Roman" w:hAnsi="Times-Roman" w:cs="Times-Roman"/>
          <w:sz w:val="20"/>
          <w:szCs w:val="20"/>
          <w:lang w:eastAsia="it-IT" w:bidi="it-IT"/>
        </w:rPr>
        <w:t>)</w:t>
      </w:r>
      <w:r w:rsidRPr="000E3240">
        <w:rPr>
          <w:rFonts w:cs="Helvetica"/>
          <w:sz w:val="20"/>
          <w:lang w:bidi="it-IT"/>
        </w:rPr>
        <w:t xml:space="preserve"> and used as a </w:t>
      </w:r>
      <w:r w:rsidRPr="000E3240">
        <w:rPr>
          <w:sz w:val="20"/>
        </w:rPr>
        <w:t>pseudo-sounding profile for initializing the meteorological processor CALMET.</w:t>
      </w:r>
      <w:r w:rsidRPr="000E3240">
        <w:rPr>
          <w:rFonts w:ascii="Times-Roman" w:hAnsi="Times-Roman" w:cs="Times-Roman"/>
          <w:sz w:val="20"/>
          <w:szCs w:val="18"/>
          <w:lang w:bidi="it-IT"/>
        </w:rPr>
        <w:t xml:space="preserve"> </w:t>
      </w:r>
    </w:p>
    <w:p w14:paraId="4A27D013" w14:textId="77777777" w:rsidR="00246525" w:rsidRPr="000E3240" w:rsidRDefault="00246525" w:rsidP="009C62CC">
      <w:pPr>
        <w:widowControl w:val="0"/>
        <w:ind w:left="288" w:hanging="288"/>
        <w:rPr>
          <w:sz w:val="20"/>
        </w:rPr>
      </w:pPr>
      <w:r w:rsidRPr="000E3240">
        <w:rPr>
          <w:sz w:val="20"/>
          <w:vertAlign w:val="superscript"/>
        </w:rPr>
        <w:t xml:space="preserve"> (8)</w:t>
      </w:r>
      <w:r w:rsidRPr="000E3240">
        <w:rPr>
          <w:sz w:val="20"/>
        </w:rPr>
        <w:t xml:space="preserve">Particle density model is from Bonadonna and Phillips </w:t>
      </w:r>
      <w:r>
        <w:rPr>
          <w:sz w:val="20"/>
        </w:rPr>
        <w:t>(</w:t>
      </w:r>
      <w:r w:rsidRPr="000E3240">
        <w:rPr>
          <w:sz w:val="20"/>
        </w:rPr>
        <w:t>2003</w:t>
      </w:r>
      <w:r>
        <w:rPr>
          <w:sz w:val="20"/>
        </w:rPr>
        <w:t>)</w:t>
      </w:r>
      <w:r w:rsidRPr="000E3240">
        <w:rPr>
          <w:sz w:val="20"/>
        </w:rPr>
        <w:t>.</w:t>
      </w:r>
    </w:p>
    <w:p w14:paraId="74664CA1" w14:textId="77777777" w:rsidR="00246525" w:rsidRPr="000E3240" w:rsidRDefault="00246525" w:rsidP="009C62CC">
      <w:pPr>
        <w:widowControl w:val="0"/>
        <w:ind w:left="288" w:hanging="288"/>
        <w:rPr>
          <w:sz w:val="20"/>
        </w:rPr>
      </w:pPr>
      <w:r>
        <w:rPr>
          <w:sz w:val="20"/>
          <w:vertAlign w:val="superscript"/>
        </w:rPr>
        <w:t>(9)</w:t>
      </w:r>
      <w:r w:rsidRPr="00602F4C">
        <w:rPr>
          <w:sz w:val="20"/>
        </w:rPr>
        <w:t>A</w:t>
      </w:r>
      <w:r w:rsidRPr="000E3240">
        <w:rPr>
          <w:sz w:val="20"/>
        </w:rPr>
        <w:t xml:space="preserve"> horizontal </w:t>
      </w:r>
      <w:r>
        <w:rPr>
          <w:sz w:val="20"/>
        </w:rPr>
        <w:t xml:space="preserve">diffusion </w:t>
      </w:r>
      <w:r w:rsidRPr="000E3240">
        <w:rPr>
          <w:sz w:val="20"/>
        </w:rPr>
        <w:t xml:space="preserve">coefficient </w:t>
      </w:r>
      <w:r w:rsidRPr="000E3240">
        <w:rPr>
          <w:i/>
          <w:sz w:val="20"/>
        </w:rPr>
        <w:t>K</w:t>
      </w:r>
      <w:r w:rsidRPr="000E3240">
        <w:rPr>
          <w:i/>
          <w:sz w:val="20"/>
          <w:vertAlign w:val="subscript"/>
        </w:rPr>
        <w:t xml:space="preserve">H </w:t>
      </w:r>
      <w:r w:rsidRPr="000E3240">
        <w:rPr>
          <w:sz w:val="20"/>
        </w:rPr>
        <w:t>=5000 m s</w:t>
      </w:r>
      <w:r w:rsidRPr="000E3240">
        <w:rPr>
          <w:sz w:val="20"/>
          <w:vertAlign w:val="superscript"/>
        </w:rPr>
        <w:t xml:space="preserve">-2 </w:t>
      </w:r>
      <w:r w:rsidRPr="000E3240">
        <w:rPr>
          <w:sz w:val="20"/>
        </w:rPr>
        <w:t xml:space="preserve">was used instead of the </w:t>
      </w:r>
      <w:r w:rsidRPr="000E3240">
        <w:rPr>
          <w:i/>
          <w:sz w:val="20"/>
        </w:rPr>
        <w:t>K</w:t>
      </w:r>
      <w:r w:rsidRPr="000E3240">
        <w:rPr>
          <w:i/>
          <w:sz w:val="20"/>
          <w:vertAlign w:val="subscript"/>
        </w:rPr>
        <w:t>H</w:t>
      </w:r>
      <w:r w:rsidRPr="000E3240">
        <w:rPr>
          <w:sz w:val="20"/>
        </w:rPr>
        <w:t xml:space="preserve"> obtained </w:t>
      </w:r>
      <w:r>
        <w:rPr>
          <w:sz w:val="20"/>
        </w:rPr>
        <w:t>using</w:t>
      </w:r>
      <w:r w:rsidRPr="000E3240">
        <w:rPr>
          <w:sz w:val="20"/>
        </w:rPr>
        <w:t xml:space="preserve"> LES (Table 9.1) because </w:t>
      </w:r>
      <w:r>
        <w:rPr>
          <w:sz w:val="20"/>
        </w:rPr>
        <w:t>it gave</w:t>
      </w:r>
      <w:r w:rsidRPr="000E3240">
        <w:rPr>
          <w:sz w:val="20"/>
        </w:rPr>
        <w:t xml:space="preserve"> bet</w:t>
      </w:r>
      <w:r>
        <w:rPr>
          <w:sz w:val="20"/>
        </w:rPr>
        <w:t>ter</w:t>
      </w:r>
      <w:r w:rsidRPr="000E3240">
        <w:rPr>
          <w:sz w:val="20"/>
        </w:rPr>
        <w:t xml:space="preserve"> agreement with observations (OAT analysis)</w:t>
      </w:r>
    </w:p>
    <w:p w14:paraId="1396B3A1" w14:textId="77777777" w:rsidR="00246525" w:rsidRPr="000E3240" w:rsidRDefault="00246525" w:rsidP="009C62CC">
      <w:pPr>
        <w:widowControl w:val="0"/>
        <w:ind w:left="288" w:hanging="288"/>
        <w:rPr>
          <w:sz w:val="20"/>
        </w:rPr>
      </w:pPr>
      <w:r>
        <w:rPr>
          <w:sz w:val="20"/>
          <w:vertAlign w:val="superscript"/>
        </w:rPr>
        <w:t>(10)</w:t>
      </w:r>
      <w:r w:rsidRPr="000E3240">
        <w:rPr>
          <w:sz w:val="20"/>
        </w:rPr>
        <w:t>Fall time threshold</w:t>
      </w:r>
      <w:r>
        <w:rPr>
          <w:sz w:val="20"/>
        </w:rPr>
        <w:t xml:space="preserve"> FTT</w:t>
      </w:r>
      <w:r w:rsidRPr="000E3240">
        <w:rPr>
          <w:sz w:val="20"/>
        </w:rPr>
        <w:t xml:space="preserve"> indicates the fall time value above which particles are controlled by a power-law diffusion (Eq. (8) in Bonadonna</w:t>
      </w:r>
      <w:r w:rsidRPr="000E3240">
        <w:rPr>
          <w:i/>
          <w:sz w:val="20"/>
        </w:rPr>
        <w:t xml:space="preserve"> et al.</w:t>
      </w:r>
      <w:r w:rsidRPr="000E3240">
        <w:rPr>
          <w:sz w:val="20"/>
        </w:rPr>
        <w:t xml:space="preserve"> </w:t>
      </w:r>
      <w:r>
        <w:rPr>
          <w:sz w:val="20"/>
        </w:rPr>
        <w:t>(</w:t>
      </w:r>
      <w:r w:rsidRPr="000E3240">
        <w:rPr>
          <w:sz w:val="20"/>
        </w:rPr>
        <w:t>2005</w:t>
      </w:r>
      <w:r>
        <w:rPr>
          <w:sz w:val="20"/>
        </w:rPr>
        <w:t>b)</w:t>
      </w:r>
      <w:r w:rsidRPr="000E3240">
        <w:rPr>
          <w:sz w:val="20"/>
        </w:rPr>
        <w:t>)</w:t>
      </w:r>
      <w:r>
        <w:rPr>
          <w:sz w:val="20"/>
        </w:rPr>
        <w:t>,</w:t>
      </w:r>
      <w:r w:rsidRPr="000E3240">
        <w:rPr>
          <w:sz w:val="20"/>
        </w:rPr>
        <w:t xml:space="preserve"> as s</w:t>
      </w:r>
      <w:r>
        <w:rPr>
          <w:sz w:val="20"/>
        </w:rPr>
        <w:t>upposed to</w:t>
      </w:r>
      <w:r w:rsidRPr="000E3240">
        <w:rPr>
          <w:sz w:val="20"/>
        </w:rPr>
        <w:t xml:space="preserve"> Fickian diffusion described using the diffusion coefficient (Eq. (6) in Bonadonna</w:t>
      </w:r>
      <w:r w:rsidRPr="000E3240">
        <w:rPr>
          <w:i/>
          <w:sz w:val="20"/>
        </w:rPr>
        <w:t xml:space="preserve"> et al.</w:t>
      </w:r>
      <w:r w:rsidRPr="000E3240">
        <w:rPr>
          <w:sz w:val="20"/>
        </w:rPr>
        <w:t xml:space="preserve"> </w:t>
      </w:r>
      <w:r>
        <w:rPr>
          <w:sz w:val="20"/>
        </w:rPr>
        <w:t>(</w:t>
      </w:r>
      <w:r w:rsidRPr="000E3240">
        <w:rPr>
          <w:sz w:val="20"/>
        </w:rPr>
        <w:t>2005</w:t>
      </w:r>
      <w:r>
        <w:rPr>
          <w:sz w:val="20"/>
        </w:rPr>
        <w:t>b)</w:t>
      </w:r>
      <w:r w:rsidRPr="000E3240">
        <w:rPr>
          <w:sz w:val="20"/>
        </w:rPr>
        <w:t xml:space="preserve">). </w:t>
      </w:r>
    </w:p>
    <w:p w14:paraId="1775D3C6" w14:textId="77777777" w:rsidR="0023766B" w:rsidRDefault="00AA337A" w:rsidP="009C62CC"/>
    <w:sectPr w:rsidR="0023766B" w:rsidSect="00732F6E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D6ED9" w14:textId="77777777" w:rsidR="00AA337A" w:rsidRDefault="00AA337A" w:rsidP="00AA337A">
      <w:r>
        <w:separator/>
      </w:r>
    </w:p>
  </w:endnote>
  <w:endnote w:type="continuationSeparator" w:id="0">
    <w:p w14:paraId="072236E3" w14:textId="77777777" w:rsidR="00AA337A" w:rsidRDefault="00AA337A" w:rsidP="00AA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AD35F" w14:textId="77777777" w:rsidR="00AA337A" w:rsidRDefault="00AA337A" w:rsidP="005B1D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2F71BA" w14:textId="77777777" w:rsidR="00AA337A" w:rsidRDefault="00AA337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256E1" w14:textId="77777777" w:rsidR="00AA337A" w:rsidRPr="00AA337A" w:rsidRDefault="00AA337A" w:rsidP="005B1DFD">
    <w:pPr>
      <w:pStyle w:val="Footer"/>
      <w:framePr w:wrap="around" w:vAnchor="text" w:hAnchor="margin" w:xAlign="center" w:y="1"/>
      <w:rPr>
        <w:rStyle w:val="PageNumber"/>
        <w:sz w:val="22"/>
      </w:rPr>
    </w:pPr>
    <w:r w:rsidRPr="00AA337A">
      <w:rPr>
        <w:rStyle w:val="PageNumber"/>
        <w:sz w:val="22"/>
      </w:rPr>
      <w:fldChar w:fldCharType="begin"/>
    </w:r>
    <w:r w:rsidRPr="00AA337A">
      <w:rPr>
        <w:rStyle w:val="PageNumber"/>
        <w:sz w:val="22"/>
      </w:rPr>
      <w:instrText xml:space="preserve">PAGE  </w:instrText>
    </w:r>
    <w:r w:rsidRPr="00AA337A">
      <w:rPr>
        <w:rStyle w:val="PageNumber"/>
        <w:sz w:val="22"/>
      </w:rPr>
      <w:fldChar w:fldCharType="separate"/>
    </w:r>
    <w:r>
      <w:rPr>
        <w:rStyle w:val="PageNumber"/>
        <w:noProof/>
        <w:sz w:val="22"/>
      </w:rPr>
      <w:t>1</w:t>
    </w:r>
    <w:r w:rsidRPr="00AA337A">
      <w:rPr>
        <w:rStyle w:val="PageNumber"/>
        <w:sz w:val="22"/>
      </w:rPr>
      <w:fldChar w:fldCharType="end"/>
    </w:r>
  </w:p>
  <w:p w14:paraId="1CD26967" w14:textId="77777777" w:rsidR="00AA337A" w:rsidRDefault="00AA337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01CF7" w14:textId="77777777" w:rsidR="00AA337A" w:rsidRDefault="00AA337A" w:rsidP="00AA337A">
      <w:r>
        <w:separator/>
      </w:r>
    </w:p>
  </w:footnote>
  <w:footnote w:type="continuationSeparator" w:id="0">
    <w:p w14:paraId="77481CAF" w14:textId="77777777" w:rsidR="00AA337A" w:rsidRDefault="00AA337A" w:rsidP="00AA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953E0"/>
    <w:multiLevelType w:val="hybridMultilevel"/>
    <w:tmpl w:val="E6141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46525"/>
    <w:rsid w:val="00246525"/>
    <w:rsid w:val="006209DE"/>
    <w:rsid w:val="009C62CC"/>
    <w:rsid w:val="00AA337A"/>
    <w:rsid w:val="00E309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2F826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52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2465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4652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rsid w:val="00246525"/>
    <w:rPr>
      <w:color w:val="0000FF"/>
      <w:u w:val="single"/>
    </w:rPr>
  </w:style>
  <w:style w:type="paragraph" w:styleId="Footer">
    <w:name w:val="footer"/>
    <w:basedOn w:val="Normal"/>
    <w:link w:val="FooterChar"/>
    <w:rsid w:val="002465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4652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246525"/>
  </w:style>
  <w:style w:type="paragraph" w:styleId="BodyTextIndent">
    <w:name w:val="Body Text Indent"/>
    <w:basedOn w:val="Normal"/>
    <w:link w:val="BodyTextIndentChar"/>
    <w:rsid w:val="00246525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46525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semiHidden/>
    <w:rsid w:val="002465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46525"/>
    <w:rPr>
      <w:rFonts w:ascii="Lucida Grande" w:eastAsia="Times New Roman" w:hAnsi="Lucida Grande" w:cs="Times New Roman"/>
      <w:sz w:val="18"/>
      <w:szCs w:val="18"/>
    </w:rPr>
  </w:style>
  <w:style w:type="character" w:styleId="CommentReference">
    <w:name w:val="annotation reference"/>
    <w:basedOn w:val="DefaultParagraphFont"/>
    <w:semiHidden/>
    <w:rsid w:val="00246525"/>
    <w:rPr>
      <w:sz w:val="18"/>
    </w:rPr>
  </w:style>
  <w:style w:type="paragraph" w:styleId="CommentText">
    <w:name w:val="annotation text"/>
    <w:basedOn w:val="Normal"/>
    <w:link w:val="CommentTextChar"/>
    <w:semiHidden/>
    <w:rsid w:val="00246525"/>
  </w:style>
  <w:style w:type="character" w:customStyle="1" w:styleId="CommentTextChar">
    <w:name w:val="Comment Text Char"/>
    <w:basedOn w:val="DefaultParagraphFont"/>
    <w:link w:val="CommentText"/>
    <w:semiHidden/>
    <w:rsid w:val="00246525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525"/>
  </w:style>
  <w:style w:type="character" w:customStyle="1" w:styleId="CommentSubjectChar">
    <w:name w:val="Comment Subject Char"/>
    <w:basedOn w:val="CommentTextChar"/>
    <w:link w:val="CommentSubject"/>
    <w:semiHidden/>
    <w:rsid w:val="00246525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nhideWhenUsed/>
    <w:rsid w:val="0024652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46525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246525"/>
    <w:pPr>
      <w:spacing w:after="0" w:line="48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246525"/>
    <w:pPr>
      <w:ind w:left="720"/>
      <w:contextualSpacing/>
    </w:pPr>
    <w:rPr>
      <w:rFonts w:ascii="Times" w:eastAsia="Times" w:hAnsi="Times"/>
    </w:rPr>
  </w:style>
  <w:style w:type="paragraph" w:styleId="Header">
    <w:name w:val="header"/>
    <w:basedOn w:val="Normal"/>
    <w:link w:val="HeaderChar"/>
    <w:uiPriority w:val="99"/>
    <w:unhideWhenUsed/>
    <w:rsid w:val="00AA33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337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Microsoft_Equation1.bin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446</Words>
  <Characters>2546</Characters>
  <Application>Microsoft Macintosh Word</Application>
  <DocSecurity>0</DocSecurity>
  <Lines>21</Lines>
  <Paragraphs>5</Paragraphs>
  <ScaleCrop>false</ScaleCrop>
  <Company>HIGP/SOEST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5</cp:revision>
  <dcterms:created xsi:type="dcterms:W3CDTF">2011-11-10T02:34:00Z</dcterms:created>
  <dcterms:modified xsi:type="dcterms:W3CDTF">2012-10-18T21:30:00Z</dcterms:modified>
</cp:coreProperties>
</file>